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简体" w:eastAsia="方正小标宋简体"/>
          <w:sz w:val="44"/>
          <w:szCs w:val="44"/>
          <w:lang w:val="en-US" w:eastAsia="zh-CN"/>
        </w:rPr>
      </w:pP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中共北京市纪律检查委员会</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2021年度整体绩效</w:t>
      </w:r>
      <w:r>
        <w:rPr>
          <w:rFonts w:hint="eastAsia" w:ascii="方正小标宋简体" w:eastAsia="方正小标宋简体"/>
          <w:sz w:val="44"/>
          <w:szCs w:val="44"/>
          <w:lang w:eastAsia="zh-CN"/>
        </w:rPr>
        <w:t>评价</w:t>
      </w:r>
      <w:r>
        <w:rPr>
          <w:rFonts w:hint="eastAsia" w:ascii="方正小标宋简体" w:eastAsia="方正小标宋简体"/>
          <w:sz w:val="44"/>
          <w:szCs w:val="44"/>
        </w:rPr>
        <w:t>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中共北京市纪律检查委员会、北京市监察委员会是党统一领导下的反腐败工作机构。中共北</w:t>
      </w:r>
      <w:bookmarkStart w:id="0" w:name="_GoBack"/>
      <w:bookmarkEnd w:id="0"/>
      <w:r>
        <w:rPr>
          <w:rFonts w:hint="eastAsia" w:ascii="仿宋_GB2312" w:hAnsi="仿宋_GB2312" w:eastAsia="仿宋_GB2312" w:cs="仿宋_GB2312"/>
          <w:sz w:val="32"/>
          <w:szCs w:val="32"/>
        </w:rPr>
        <w:t>京市纪律检查委员会是党内监督专责机关，北京市监察委员会是行使国家监察职能的专责机关。中共北京市纪律检查委员会、北京市监察委员会合署办公，履行党的纪律检查、国家监察两项职责。</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rPr>
        <w:t>中共北京市纪律检查委员会</w:t>
      </w:r>
      <w:r>
        <w:rPr>
          <w:rFonts w:hint="eastAsia" w:ascii="仿宋_GB2312" w:hAnsi="仿宋_GB2312" w:eastAsia="仿宋_GB2312" w:cs="仿宋_GB2312"/>
          <w:sz w:val="32"/>
          <w:szCs w:val="32"/>
          <w:lang w:eastAsia="zh-CN"/>
        </w:rPr>
        <w:t>整体绩效目标设置为：以习近平新时代中国特色社会主义思想为指导，全面贯彻党的十九大和十九届二中、三中、四中、五中全会精神，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首都纪检监察工作高质量发展；为胜利实现第一个百年奋斗目标、推动首都新发展提供坚强保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目标设置紧密围绕</w:t>
      </w:r>
      <w:r>
        <w:rPr>
          <w:rFonts w:hint="eastAsia" w:ascii="仿宋_GB2312" w:hAnsi="仿宋_GB2312" w:eastAsia="仿宋_GB2312" w:cs="仿宋_GB2312"/>
          <w:sz w:val="32"/>
          <w:szCs w:val="32"/>
        </w:rPr>
        <w:t>中共北京市纪律检查委员会</w:t>
      </w:r>
      <w:r>
        <w:rPr>
          <w:rFonts w:hint="eastAsia" w:ascii="仿宋_GB2312" w:hAnsi="仿宋_GB2312" w:eastAsia="仿宋_GB2312" w:cs="仿宋_GB2312"/>
          <w:sz w:val="32"/>
          <w:szCs w:val="32"/>
          <w:lang w:eastAsia="zh-CN"/>
        </w:rPr>
        <w:t>主责主业，与市纪委全会年度工作报告相结合，发挥党内监督专责机关作用，具有较强的指导性。</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预算数84633.92万元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24466.15万元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项目支出预算数60167.77万元。</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支出81469.57万元</w:t>
      </w:r>
      <w:r>
        <w:rPr>
          <w:rFonts w:ascii="仿宋_GB2312" w:hAnsi="宋体" w:eastAsia="仿宋_GB2312" w:cs="宋体"/>
          <w:color w:val="000000"/>
          <w:kern w:val="0"/>
          <w:sz w:val="32"/>
          <w:szCs w:val="32"/>
        </w:rPr>
        <w:t>，其中，基本支出</w:t>
      </w:r>
      <w:r>
        <w:rPr>
          <w:rFonts w:hint="eastAsia" w:ascii="仿宋_GB2312" w:eastAsia="仿宋_GB2312"/>
          <w:sz w:val="32"/>
          <w:szCs w:val="32"/>
        </w:rPr>
        <w:t>24199.23万元</w:t>
      </w:r>
      <w:r>
        <w:rPr>
          <w:rFonts w:ascii="仿宋_GB2312" w:hAnsi="宋体" w:eastAsia="仿宋_GB2312" w:cs="宋体"/>
          <w:color w:val="000000"/>
          <w:kern w:val="0"/>
          <w:sz w:val="32"/>
          <w:szCs w:val="32"/>
        </w:rPr>
        <w:t>，项目</w:t>
      </w:r>
      <w:r>
        <w:rPr>
          <w:rFonts w:hint="eastAsia" w:ascii="仿宋_GB2312" w:hAnsi="宋体" w:eastAsia="仿宋_GB2312" w:cs="宋体"/>
          <w:color w:val="000000"/>
          <w:kern w:val="0"/>
          <w:sz w:val="32"/>
          <w:szCs w:val="32"/>
        </w:rPr>
        <w:t>支出57270.34万元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96.26%</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ascii="楷体_GB2312" w:eastAsia="楷体_GB2312"/>
          <w:sz w:val="32"/>
          <w:szCs w:val="32"/>
        </w:rPr>
      </w:pPr>
      <w:r>
        <w:rPr>
          <w:rFonts w:hint="eastAsia" w:ascii="楷体_GB2312" w:eastAsia="楷体_GB2312"/>
          <w:sz w:val="32"/>
          <w:szCs w:val="32"/>
        </w:rPr>
        <w:t>（一）产出完成情况分析</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坚持有腐必反、有案必查，全市纪检监察机关共立案4465件、给予党纪政务处分3641人。保持追逃追赃高压态势，全市共追回20名外逃人员，追缴涉案赃款1318万余元。坚持受贿行贿一起查，查处涉嫌行贿违法犯罪案件174件。</w:t>
      </w:r>
      <w:r>
        <w:rPr>
          <w:rFonts w:hint="eastAsia" w:ascii="仿宋_GB2312" w:hAnsi="黑体" w:eastAsia="仿宋_GB2312"/>
          <w:sz w:val="32"/>
          <w:szCs w:val="32"/>
          <w:lang w:val="en-US" w:eastAsia="zh-CN"/>
        </w:rPr>
        <w:t>全市查处违反中央八项规定精神问题673人，给予党纪政务处分542人，其他处理131人。</w:t>
      </w:r>
      <w:r>
        <w:rPr>
          <w:rFonts w:hint="eastAsia" w:ascii="仿宋_GB2312" w:hAnsi="黑体" w:eastAsia="仿宋_GB2312"/>
          <w:sz w:val="32"/>
          <w:szCs w:val="32"/>
        </w:rPr>
        <w:t>完成市委第十一至十三轮对74个地区和单位党组织的常规巡视、对5个单位党组织的巡视“回头看”</w:t>
      </w:r>
      <w:r>
        <w:rPr>
          <w:rFonts w:hint="eastAsia" w:ascii="仿宋_GB2312" w:hAnsi="黑体" w:eastAsia="仿宋_GB2312"/>
          <w:sz w:val="32"/>
          <w:szCs w:val="32"/>
          <w:lang w:eastAsia="zh-CN"/>
        </w:rPr>
        <w:t>，</w:t>
      </w:r>
      <w:r>
        <w:rPr>
          <w:rFonts w:hint="eastAsia" w:ascii="仿宋_GB2312" w:hAnsi="黑体" w:eastAsia="仿宋_GB2312"/>
          <w:sz w:val="32"/>
          <w:szCs w:val="32"/>
        </w:rPr>
        <w:t>实现了十二届市委任期内巡视全覆盖的目标。组织和选派干部参加各级各类培训班</w:t>
      </w:r>
      <w:r>
        <w:rPr>
          <w:rFonts w:hint="eastAsia" w:ascii="仿宋_GB2312" w:hAnsi="黑体" w:eastAsia="仿宋_GB2312"/>
          <w:sz w:val="32"/>
          <w:szCs w:val="32"/>
          <w:lang w:val="en-US" w:eastAsia="zh-CN"/>
        </w:rPr>
        <w:t>102期，业务大讲堂22讲，脱产培训2794人次，专题辅导7358余人次</w:t>
      </w:r>
      <w:r>
        <w:rPr>
          <w:rFonts w:hint="eastAsia" w:ascii="仿宋_GB2312" w:hAnsi="黑体" w:eastAsia="仿宋_GB2312"/>
          <w:sz w:val="32"/>
          <w:szCs w:val="32"/>
        </w:rPr>
        <w:t>。</w:t>
      </w:r>
      <w:r>
        <w:rPr>
          <w:rFonts w:hint="eastAsia" w:ascii="仿宋_GB2312" w:hAnsi="黑体" w:eastAsia="仿宋_GB2312"/>
          <w:sz w:val="32"/>
          <w:szCs w:val="32"/>
          <w:lang w:val="en-US" w:eastAsia="zh-CN"/>
        </w:rPr>
        <w:t>利用北京电视台节目、北京日报专栏、“清风北京”微信公众号等传播渠道，制作电视节目52期、短视频40个、警示教育光盘6000余套，宣传全市纪检监察工作。</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w:t>
      </w:r>
      <w:r>
        <w:rPr>
          <w:rFonts w:hint="eastAsia" w:ascii="仿宋_GB2312" w:hAnsi="黑体" w:eastAsia="仿宋_GB2312"/>
          <w:sz w:val="32"/>
          <w:szCs w:val="32"/>
          <w:lang w:eastAsia="zh-CN"/>
        </w:rPr>
        <w:t>在</w:t>
      </w:r>
      <w:r>
        <w:rPr>
          <w:rFonts w:hint="eastAsia" w:ascii="仿宋_GB2312" w:hAnsi="黑体" w:eastAsia="仿宋_GB2312"/>
          <w:sz w:val="32"/>
          <w:szCs w:val="32"/>
        </w:rPr>
        <w:t>加强党史学习</w:t>
      </w:r>
      <w:r>
        <w:rPr>
          <w:rFonts w:hint="eastAsia" w:ascii="仿宋_GB2312" w:hAnsi="黑体" w:eastAsia="仿宋_GB2312"/>
          <w:sz w:val="32"/>
          <w:szCs w:val="32"/>
          <w:lang w:eastAsia="zh-CN"/>
        </w:rPr>
        <w:t>教育中</w:t>
      </w:r>
      <w:r>
        <w:rPr>
          <w:rFonts w:hint="eastAsia" w:ascii="仿宋_GB2312" w:hAnsi="黑体" w:eastAsia="仿宋_GB2312"/>
          <w:sz w:val="32"/>
          <w:szCs w:val="32"/>
        </w:rPr>
        <w:t>坚定正确方向</w:t>
      </w:r>
      <w:r>
        <w:rPr>
          <w:rFonts w:hint="eastAsia" w:ascii="仿宋_GB2312" w:hAnsi="黑体" w:eastAsia="仿宋_GB2312"/>
          <w:sz w:val="32"/>
          <w:szCs w:val="32"/>
          <w:lang w:eastAsia="zh-CN"/>
        </w:rPr>
        <w:t>，在保障</w:t>
      </w:r>
      <w:r>
        <w:rPr>
          <w:rFonts w:hint="eastAsia" w:ascii="仿宋_GB2312" w:hAnsi="黑体" w:eastAsia="仿宋_GB2312"/>
          <w:sz w:val="32"/>
          <w:szCs w:val="32"/>
        </w:rPr>
        <w:t>习近平总书记重要指示批示精神落实</w:t>
      </w:r>
      <w:r>
        <w:rPr>
          <w:rFonts w:hint="eastAsia" w:ascii="仿宋_GB2312" w:hAnsi="黑体" w:eastAsia="仿宋_GB2312"/>
          <w:sz w:val="32"/>
          <w:szCs w:val="32"/>
          <w:lang w:eastAsia="zh-CN"/>
        </w:rPr>
        <w:t>中</w:t>
      </w:r>
      <w:r>
        <w:rPr>
          <w:rFonts w:hint="eastAsia" w:ascii="仿宋_GB2312" w:hAnsi="黑体" w:eastAsia="仿宋_GB2312"/>
          <w:sz w:val="32"/>
          <w:szCs w:val="32"/>
        </w:rPr>
        <w:t>强化政治监督</w:t>
      </w:r>
      <w:r>
        <w:rPr>
          <w:rFonts w:hint="eastAsia" w:ascii="仿宋_GB2312" w:hAnsi="黑体" w:eastAsia="仿宋_GB2312"/>
          <w:sz w:val="32"/>
          <w:szCs w:val="32"/>
          <w:lang w:eastAsia="zh-CN"/>
        </w:rPr>
        <w:t>，</w:t>
      </w:r>
      <w:r>
        <w:rPr>
          <w:rFonts w:hint="eastAsia" w:ascii="仿宋_GB2312" w:hAnsi="黑体" w:eastAsia="仿宋_GB2312"/>
          <w:sz w:val="32"/>
          <w:szCs w:val="32"/>
        </w:rPr>
        <w:t>在首都大事要务中充分发挥监督保障作用</w:t>
      </w:r>
      <w:r>
        <w:rPr>
          <w:rFonts w:hint="eastAsia" w:ascii="仿宋_GB2312" w:hAnsi="黑体" w:eastAsia="仿宋_GB2312"/>
          <w:sz w:val="32"/>
          <w:szCs w:val="32"/>
          <w:lang w:eastAsia="zh-CN"/>
        </w:rPr>
        <w:t>。</w:t>
      </w:r>
      <w:r>
        <w:rPr>
          <w:rFonts w:hint="eastAsia" w:ascii="仿宋_GB2312" w:hAnsi="黑体" w:eastAsia="仿宋_GB2312"/>
          <w:sz w:val="32"/>
          <w:szCs w:val="32"/>
        </w:rPr>
        <w:t>始终保持不敢腐的高压态势</w:t>
      </w:r>
      <w:r>
        <w:rPr>
          <w:rFonts w:hint="eastAsia" w:ascii="仿宋_GB2312" w:hAnsi="黑体" w:eastAsia="仿宋_GB2312"/>
          <w:sz w:val="32"/>
          <w:szCs w:val="32"/>
          <w:lang w:eastAsia="zh-CN"/>
        </w:rPr>
        <w:t>，</w:t>
      </w:r>
      <w:r>
        <w:rPr>
          <w:rFonts w:hint="eastAsia" w:ascii="仿宋_GB2312" w:hAnsi="黑体" w:eastAsia="仿宋_GB2312"/>
          <w:sz w:val="32"/>
          <w:szCs w:val="32"/>
        </w:rPr>
        <w:t>保持重点领域反腐强劲势头</w:t>
      </w:r>
      <w:r>
        <w:rPr>
          <w:rFonts w:hint="eastAsia" w:ascii="仿宋_GB2312" w:hAnsi="黑体" w:eastAsia="仿宋_GB2312"/>
          <w:sz w:val="32"/>
          <w:szCs w:val="32"/>
          <w:lang w:eastAsia="zh-CN"/>
        </w:rPr>
        <w:t>，</w:t>
      </w:r>
      <w:r>
        <w:rPr>
          <w:rFonts w:hint="eastAsia" w:ascii="仿宋_GB2312" w:hAnsi="黑体" w:eastAsia="仿宋_GB2312"/>
          <w:sz w:val="32"/>
          <w:szCs w:val="32"/>
        </w:rPr>
        <w:t>深化以案促改、以案促治。坚决防止“四风”问题反弹回潮</w:t>
      </w:r>
      <w:r>
        <w:rPr>
          <w:rFonts w:hint="eastAsia" w:ascii="仿宋_GB2312" w:hAnsi="黑体" w:eastAsia="仿宋_GB2312"/>
          <w:sz w:val="32"/>
          <w:szCs w:val="32"/>
          <w:lang w:eastAsia="zh-CN"/>
        </w:rPr>
        <w:t>，</w:t>
      </w:r>
      <w:r>
        <w:rPr>
          <w:rFonts w:hint="eastAsia" w:ascii="仿宋_GB2312" w:hAnsi="黑体" w:eastAsia="仿宋_GB2312"/>
          <w:sz w:val="32"/>
          <w:szCs w:val="32"/>
        </w:rPr>
        <w:t>推动解决群众“急难愁盼”问题监督。</w:t>
      </w:r>
      <w:r>
        <w:rPr>
          <w:rFonts w:hint="eastAsia" w:ascii="仿宋_GB2312" w:hAnsi="黑体" w:eastAsia="仿宋_GB2312"/>
          <w:sz w:val="32"/>
          <w:szCs w:val="32"/>
          <w:lang w:eastAsia="zh-CN"/>
        </w:rPr>
        <w:t>全年各项工作得到中央纪委、中共北京市委认可。</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。坚持作风建设永远在路上，反腐败不停歇，监督检查和审查调查工作贯穿全年。年初至年末，集中开展三轮市委巡视工作。整体预算支出进度与工作任务推进情况基本匹配，全年预算执行率</w:t>
      </w:r>
      <w:r>
        <w:rPr>
          <w:rFonts w:hint="eastAsia" w:ascii="仿宋_GB2312" w:hAnsi="宋体" w:eastAsia="仿宋_GB2312" w:cs="宋体"/>
          <w:color w:val="000000"/>
          <w:kern w:val="0"/>
          <w:sz w:val="32"/>
          <w:szCs w:val="32"/>
          <w:lang w:val="en-US" w:eastAsia="zh-CN"/>
        </w:rPr>
        <w:t>96.26%</w:t>
      </w:r>
      <w:r>
        <w:rPr>
          <w:rFonts w:hint="eastAsia" w:ascii="仿宋_GB2312" w:hAnsi="宋体" w:eastAsia="仿宋_GB2312"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坚决落实政府过“紧日子”要求，坚持厉行节约办一切事业。全年会议、培训等多采取线上视频方式举办，严控非必要差旅外出活动，大幅压缩三公经费等相关支出。下半年结合疫情防控形势和工作任务变化，主动开展两轮预算调整，压缩非紧急、非刚性的一般性支出，调整用于新增重点工作事项。</w:t>
      </w:r>
      <w:r>
        <w:rPr>
          <w:rFonts w:hint="eastAsia" w:ascii="仿宋_GB2312" w:hAnsi="宋体"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eastAsia="zh-CN"/>
        </w:rPr>
        <w:t>。一体推进不敢腐、不能腐、不想腐，清理腐败存量、控制腐败增量，查办大批公职人员违法违纪案件，追缴违纪违法所得，形成强大震慑力，减少贪污腐败、行贿受贿问题，间接挽回国有资产和社会经济损失。</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2.社会效益</w:t>
      </w:r>
      <w:r>
        <w:rPr>
          <w:rFonts w:hint="eastAsia" w:ascii="仿宋_GB2312" w:hAnsi="宋体" w:eastAsia="仿宋_GB2312" w:cs="宋体"/>
          <w:color w:val="000000"/>
          <w:kern w:val="0"/>
          <w:sz w:val="32"/>
          <w:szCs w:val="32"/>
          <w:lang w:eastAsia="zh-CN"/>
        </w:rPr>
        <w:t>。加强政治监督，促进各级行政事业单位党组织和公职人员正确履职，推动中央、市委各项政策在北京落地生根，服务全市经济社会发展。通过纠治“四风”问题，治理侵害群众利益的顽瘴痼疾，使人民群众得到实实在在的好处，增强人民群众的获得感、幸福感。打造清廉的社会风气，增强各级党组织凝聚力、战斗力。</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w:t>
      </w:r>
      <w:r>
        <w:rPr>
          <w:rFonts w:hint="eastAsia" w:ascii="仿宋_GB2312" w:hAnsi="宋体" w:eastAsia="仿宋_GB2312" w:cs="宋体"/>
          <w:color w:val="000000"/>
          <w:kern w:val="0"/>
          <w:sz w:val="32"/>
          <w:szCs w:val="32"/>
          <w:lang w:eastAsia="zh-CN"/>
        </w:rPr>
        <w:t>建设不断完善。构建《北京市纪委市监委机关财务管理制度》《北京市纪委市监委机关经费支出管理办法》等制度体系，完善内部控制程序，编制《内部控制管理手册》。</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2.资金使用</w:t>
      </w:r>
      <w:r>
        <w:rPr>
          <w:rFonts w:hint="eastAsia" w:ascii="仿宋_GB2312" w:hAnsi="宋体" w:eastAsia="仿宋_GB2312" w:cs="宋体"/>
          <w:color w:val="000000"/>
          <w:kern w:val="0"/>
          <w:sz w:val="32"/>
          <w:szCs w:val="32"/>
          <w:lang w:eastAsia="zh-CN"/>
        </w:rPr>
        <w:t>整体合规、安全。落实内控要求，预算编制及调整、大额资金使用等事项逐级报批，并报市纪委书记专题会、常委会研究。各项经济合同经法规室审核。经费支出逐级审批，出纳、会计岗位分离并形成监督制约。</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lang w:eastAsia="zh-CN"/>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w:t>
      </w:r>
      <w:r>
        <w:rPr>
          <w:rFonts w:hint="eastAsia" w:ascii="仿宋_GB2312" w:hAnsi="宋体" w:eastAsia="仿宋_GB2312" w:cs="宋体"/>
          <w:color w:val="000000"/>
          <w:kern w:val="0"/>
          <w:sz w:val="32"/>
          <w:szCs w:val="32"/>
          <w:lang w:eastAsia="zh-CN"/>
        </w:rPr>
        <w:t>。会计凭证要素完整，原始凭证、记账凭证，附件齐全。账务记录完整准确，决算编制各报表与会计账相符。</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设置专人专岗负责资产管理工作，资产采购、实物管理、资产账相分离，形成监督制约。资产采购执行政府采购制度，资产配置总体符合相关规定，资产处置流程符合程序。年底组织开展了资产盘点。</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按照市财政局绩效管理相关政策，对所以年初预算项目设置绩效目标，开展绩效运行监控和事后绩效评价。各项目执行单位绩效管理意识显著增强，财政资金使用效益提高。</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楷体_GB2312" w:eastAsia="楷体_GB2312"/>
          <w:sz w:val="32"/>
          <w:szCs w:val="32"/>
        </w:rPr>
      </w:pPr>
      <w:r>
        <w:rPr>
          <w:rFonts w:hint="eastAsia" w:ascii="楷体_GB2312" w:eastAsia="楷体_GB2312"/>
          <w:sz w:val="32"/>
          <w:szCs w:val="32"/>
        </w:rPr>
        <w:t>（四）结转结余率</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年末结转结余率为</w:t>
      </w:r>
      <w:r>
        <w:rPr>
          <w:rFonts w:hint="eastAsia" w:ascii="仿宋_GB2312" w:hAnsi="仿宋_GB2312" w:eastAsia="仿宋_GB2312" w:cs="仿宋_GB2312"/>
          <w:sz w:val="32"/>
          <w:szCs w:val="32"/>
          <w:lang w:val="en-US" w:eastAsia="zh-CN"/>
        </w:rPr>
        <w:t>3.74%。形成结余的主要为下半年调整预算追加的项目资金，年底前未能全部支出。按照结余资金管理政策，可延续使用到第二年。</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部门预决算差异率为</w:t>
      </w:r>
      <w:r>
        <w:rPr>
          <w:rFonts w:hint="eastAsia" w:ascii="仿宋_GB2312" w:hAnsi="仿宋_GB2312" w:eastAsia="仿宋_GB2312" w:cs="仿宋_GB2312"/>
          <w:sz w:val="32"/>
          <w:szCs w:val="32"/>
          <w:lang w:val="en-US" w:eastAsia="zh-CN"/>
        </w:rPr>
        <w:t>77.6%。主要原因为：部分基本建设项目资金在年中拨付到位，未纳入年初预算批复。</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2021年市纪委部门整体绩效评价得分为91.9分，评定等次为“优”。其中：预算执行情况19.2分，绩效产出情况27.5分，绩效效果情况29.0分，预算管理情况16.2分。</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楷体_GB2312" w:eastAsia="楷体_GB2312"/>
          <w:sz w:val="32"/>
          <w:szCs w:val="32"/>
        </w:rPr>
      </w:pPr>
      <w:r>
        <w:rPr>
          <w:rFonts w:hint="eastAsia" w:ascii="楷体_GB2312" w:eastAsia="楷体_GB2312"/>
          <w:sz w:val="32"/>
          <w:szCs w:val="32"/>
        </w:rPr>
        <w:t>（二）存在的问题及原因分析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存在的问题主要为：一是政府采购和政府购买服务工作需要进一步规范。二是资产配置管理、清查工作需要加强。三是支出进度应当加快。四是绩效管理工作要更加突出实效。</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产生问题的原因：部分人员对于财务管理工作认识不足，执行财政财务制度的能力素质需加强。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一是规范政府采购和政府购买服务工作。加强采购预算编制、采购计划、采购立项、采购方式、合同验收等各环节管理。完善政府购买服务指导性目录，实现应采尽采。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二是加强资产管理工作。严格按照资产配置标准采购、配置各项资产，加强实物资产分配、流转环节管理，及时开展资产盘点、清查工作，确保账实相符。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三是加快预算执行进度。各项目合同应当合理约定首付款、进度款、尾款支付时间和条件，确保支出进度和时间进度、任务进度相匹配。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四是切实落实绩效管理要求。围绕项目工作任务科学编制绩效目标，结合绩效运行监控情况修正绩效目标或者调整预算，加强绩效完成情况材料收集，根据绩效评价意见改进相关工作。</w:t>
      </w:r>
    </w:p>
    <w:p>
      <w:pPr>
        <w:spacing w:line="600" w:lineRule="exact"/>
        <w:ind w:firstLine="640" w:firstLineChars="200"/>
        <w:rPr>
          <w:rFonts w:hint="eastAsia" w:ascii="仿宋_GB2312" w:hAnsi="宋体" w:eastAsia="仿宋_GB2312" w:cs="宋体"/>
          <w:color w:val="000000"/>
          <w:kern w:val="0"/>
          <w:sz w:val="32"/>
          <w:szCs w:val="32"/>
        </w:rPr>
      </w:pPr>
    </w:p>
    <w:p>
      <w:pPr>
        <w:spacing w:line="600" w:lineRule="exact"/>
        <w:ind w:firstLine="640" w:firstLineChars="200"/>
        <w:rPr>
          <w:rFonts w:hint="eastAsia" w:ascii="仿宋_GB2312" w:hAnsi="宋体" w:eastAsia="仿宋_GB2312" w:cs="宋体"/>
          <w:color w:val="000000"/>
          <w:kern w:val="0"/>
          <w:sz w:val="32"/>
          <w:szCs w:val="32"/>
        </w:rPr>
      </w:pPr>
    </w:p>
    <w:p>
      <w:pPr>
        <w:spacing w:line="600" w:lineRule="exact"/>
        <w:ind w:firstLine="640" w:firstLineChars="200"/>
        <w:rPr>
          <w:rFonts w:hint="eastAsia" w:ascii="仿宋_GB2312" w:hAnsi="宋体" w:eastAsia="仿宋_GB2312" w:cs="宋体"/>
          <w:color w:val="000000"/>
          <w:kern w:val="0"/>
          <w:sz w:val="32"/>
          <w:szCs w:val="32"/>
        </w:rPr>
      </w:pPr>
    </w:p>
    <w:p>
      <w:pPr>
        <w:spacing w:line="600" w:lineRule="exact"/>
        <w:ind w:firstLine="640" w:firstLineChars="200"/>
        <w:rPr>
          <w:rFonts w:hint="eastAsia" w:ascii="仿宋_GB2312" w:hAnsi="宋体" w:eastAsia="仿宋_GB2312" w:cs="宋体"/>
          <w:color w:val="000000"/>
          <w:kern w:val="0"/>
          <w:sz w:val="32"/>
          <w:szCs w:val="32"/>
        </w:rPr>
      </w:pPr>
    </w:p>
    <w:p>
      <w:pPr>
        <w:spacing w:line="600" w:lineRule="exact"/>
        <w:ind w:firstLine="640" w:firstLineChars="200"/>
        <w:rPr>
          <w:rFonts w:hint="eastAsia" w:ascii="仿宋_GB2312" w:hAnsi="宋体" w:eastAsia="仿宋_GB2312" w:cs="宋体"/>
          <w:color w:val="000000"/>
          <w:kern w:val="0"/>
          <w:sz w:val="32"/>
          <w:szCs w:val="32"/>
        </w:rPr>
      </w:pPr>
    </w:p>
    <w:p>
      <w:pPr>
        <w:spacing w:line="600" w:lineRule="exact"/>
        <w:ind w:firstLine="640" w:firstLineChars="200"/>
        <w:rPr>
          <w:rFonts w:hint="eastAsia" w:ascii="仿宋_GB2312" w:hAnsi="宋体" w:eastAsia="仿宋_GB2312" w:cs="宋体"/>
          <w:color w:val="000000"/>
          <w:kern w:val="0"/>
          <w:sz w:val="32"/>
          <w:szCs w:val="32"/>
        </w:rPr>
      </w:pPr>
    </w:p>
    <w:p>
      <w:pPr>
        <w:spacing w:line="600" w:lineRule="exact"/>
        <w:ind w:firstLine="640" w:firstLineChars="200"/>
        <w:rPr>
          <w:rFonts w:hint="eastAsia" w:ascii="仿宋_GB2312" w:hAnsi="宋体" w:eastAsia="仿宋_GB2312" w:cs="宋体"/>
          <w:color w:val="000000"/>
          <w:kern w:val="0"/>
          <w:sz w:val="32"/>
          <w:szCs w:val="32"/>
        </w:rPr>
      </w:pPr>
    </w:p>
    <w:p>
      <w:pPr>
        <w:spacing w:line="600" w:lineRule="exact"/>
        <w:ind w:firstLine="640" w:firstLineChars="200"/>
        <w:rPr>
          <w:rFonts w:hint="eastAsia" w:ascii="仿宋_GB2312" w:hAnsi="宋体" w:eastAsia="仿宋_GB2312" w:cs="宋体"/>
          <w:color w:val="000000"/>
          <w:kern w:val="0"/>
          <w:sz w:val="32"/>
          <w:szCs w:val="32"/>
        </w:rPr>
      </w:pPr>
    </w:p>
    <w:p>
      <w:pPr>
        <w:widowControl/>
        <w:jc w:val="center"/>
        <w:rPr>
          <w:rFonts w:hint="eastAsia" w:ascii="方正小标宋简体" w:hAnsi="黑体" w:eastAsia="方正小标宋简体" w:cs="宋体"/>
          <w:color w:val="000000"/>
          <w:kern w:val="0"/>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854"/>
        <w:gridCol w:w="892"/>
        <w:gridCol w:w="1016"/>
        <w:gridCol w:w="1016"/>
        <w:gridCol w:w="827"/>
        <w:gridCol w:w="616"/>
        <w:gridCol w:w="816"/>
        <w:gridCol w:w="3971"/>
        <w:gridCol w:w="4166"/>
      </w:tblGrid>
      <w:tr>
        <w:trPr>
          <w:trHeight w:val="499" w:hRule="atLeast"/>
        </w:trPr>
        <w:tc>
          <w:tcPr>
            <w:tcW w:w="5000" w:type="pct"/>
            <w:gridSpan w:val="9"/>
            <w:tcBorders>
              <w:top w:val="nil"/>
              <w:left w:val="nil"/>
              <w:bottom w:val="single" w:color="auto" w:sz="4" w:space="0"/>
              <w:right w:val="nil"/>
            </w:tcBorders>
            <w:noWrap/>
            <w:vAlign w:val="bottom"/>
          </w:tcPr>
          <w:p>
            <w:pPr>
              <w:widowControl/>
              <w:jc w:val="center"/>
              <w:rPr>
                <w:rFonts w:hint="eastAsia" w:ascii="方正小标宋简体" w:hAnsi="黑体" w:eastAsia="方正小标宋简体" w:cs="宋体"/>
                <w:color w:val="000000"/>
                <w:kern w:val="0"/>
                <w:sz w:val="44"/>
                <w:szCs w:val="44"/>
                <w:lang w:eastAsia="zh-CN"/>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1</w:t>
            </w:r>
            <w:r>
              <w:rPr>
                <w:rFonts w:hint="eastAsia" w:ascii="方正小标宋简体" w:hAnsi="黑体" w:eastAsia="方正小标宋简体" w:cs="宋体"/>
                <w:color w:val="000000"/>
                <w:kern w:val="0"/>
                <w:sz w:val="44"/>
                <w:szCs w:val="44"/>
              </w:rPr>
              <w:t>年部门整体绩效评价指标体系评分表</w:t>
            </w:r>
          </w:p>
        </w:tc>
      </w:tr>
      <w:tr>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trHeight w:val="660"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630" w:hRule="atLeast"/>
        </w:trPr>
        <w:tc>
          <w:tcPr>
            <w:tcW w:w="352"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84633.92　</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81469.57　</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96.26%</w:t>
            </w:r>
            <w:r>
              <w:rPr>
                <w:rFonts w:hint="eastAsia" w:ascii="宋体" w:hAnsi="宋体" w:cs="宋体"/>
                <w:color w:val="000000"/>
                <w:kern w:val="0"/>
                <w:sz w:val="20"/>
                <w:szCs w:val="20"/>
              </w:rPr>
              <w:t>　</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19.2</w:t>
            </w: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518"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24466.15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24199.23　</w:t>
            </w:r>
          </w:p>
        </w:tc>
        <w:tc>
          <w:tcPr>
            <w:tcW w:w="34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60167.77</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57270.34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136"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196"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65" w:type="pct"/>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23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产出数量</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完成反腐败、查办四风问题、干部管理工作、宣传工作等</w:t>
            </w:r>
            <w:r>
              <w:rPr>
                <w:rFonts w:hint="eastAsia" w:ascii="宋体" w:hAnsi="宋体" w:cs="宋体"/>
                <w:color w:val="000000"/>
                <w:kern w:val="0"/>
                <w:sz w:val="20"/>
                <w:szCs w:val="20"/>
                <w:lang w:val="en-US" w:eastAsia="zh-CN"/>
              </w:rPr>
              <w:t>5项工作</w:t>
            </w: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各项工作完成情况良好</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51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11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产出质量</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保障监督、办案、巡视、队伍建设和宣传工作质量</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各项工作质量总体良好</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8</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58"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产出进度</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经费支出进度与时间进度相匹配</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支出进度总体良好</w:t>
            </w:r>
            <w:r>
              <w:rPr>
                <w:rFonts w:hint="eastAsia" w:ascii="宋体" w:hAnsi="宋体" w:cs="宋体"/>
                <w:color w:val="000000"/>
                <w:kern w:val="0"/>
                <w:sz w:val="20"/>
                <w:szCs w:val="20"/>
              </w:rPr>
              <w:t>　</w:t>
            </w:r>
          </w:p>
        </w:tc>
        <w:tc>
          <w:tcPr>
            <w:tcW w:w="23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产出成本</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落实政府“过紧日子”要求，压缩一般性支出</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一般性支出大幅压缩</w:t>
            </w:r>
            <w:r>
              <w:rPr>
                <w:rFonts w:hint="eastAsia" w:ascii="宋体" w:hAnsi="宋体" w:cs="宋体"/>
                <w:color w:val="000000"/>
                <w:kern w:val="0"/>
                <w:sz w:val="20"/>
                <w:szCs w:val="20"/>
              </w:rPr>
              <w:t>　</w:t>
            </w:r>
          </w:p>
        </w:tc>
        <w:tc>
          <w:tcPr>
            <w:tcW w:w="232"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6.5</w:t>
            </w: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经济效益</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挽回国有资产和社会经济损失</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挽回国有资产和社会经济损失</w:t>
            </w:r>
            <w:r>
              <w:rPr>
                <w:rFonts w:hint="eastAsia" w:ascii="宋体" w:hAnsi="宋体" w:cs="宋体"/>
                <w:color w:val="000000"/>
                <w:kern w:val="0"/>
                <w:sz w:val="20"/>
                <w:szCs w:val="20"/>
              </w:rPr>
              <w:t>　　</w:t>
            </w:r>
          </w:p>
        </w:tc>
        <w:tc>
          <w:tcPr>
            <w:tcW w:w="232"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nil"/>
              <w:left w:val="nil"/>
              <w:bottom w:val="single" w:color="auto" w:sz="4" w:space="0"/>
              <w:right w:val="nil"/>
            </w:tcBorders>
            <w:noWrap/>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14.5</w:t>
            </w:r>
          </w:p>
        </w:tc>
        <w:tc>
          <w:tcPr>
            <w:tcW w:w="1487"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518"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社会效益</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促进党组织和公职人员正确履职，服务发展</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促进党组织和公职人员正确履职，服务发展</w:t>
            </w: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14.5</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可持续性影响</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未设置</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服务对象满意度</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未设置</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trHeight w:val="702"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230"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3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健全财务管理和内部控制制度</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健全财务管理和内部控制制度</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2220" w:hRule="atLeast"/>
        </w:trPr>
        <w:tc>
          <w:tcPr>
            <w:tcW w:w="352"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加强内控管理，落实政府采购、政府购买服务相关工作要求，保障资金使用合规、安全</w:t>
            </w: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资金使用总体合规、安全。政府采购、政府购买服务工作需加强</w:t>
            </w: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会计基础信息完整准确</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会计基础信息完整准确</w:t>
            </w: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48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51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222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规范资产采购、配置、处置和日常使用管理</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资产管理工作基本规范有序。资产配置管理和清查待加强</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3.2</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236"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填报绩效目标，开展绩效运行监控和绩效评价</w:t>
            </w: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按照计划开展绩效管理各项工作</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470"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36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470"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3.60%</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3.74%</w:t>
            </w: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3.5</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470" w:type="pct"/>
            <w:gridSpan w:val="2"/>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77.6%</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148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51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404" w:hRule="atLeast"/>
        </w:trPr>
        <w:tc>
          <w:tcPr>
            <w:tcW w:w="1529"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91.9</w:t>
            </w:r>
            <w:r>
              <w:rPr>
                <w:rFonts w:hint="eastAsia" w:ascii="宋体" w:hAnsi="宋体" w:cs="宋体"/>
                <w:color w:val="000000"/>
                <w:kern w:val="0"/>
                <w:sz w:val="20"/>
                <w:szCs w:val="20"/>
              </w:rPr>
              <w:t>　</w:t>
            </w:r>
          </w:p>
        </w:tc>
        <w:tc>
          <w:tcPr>
            <w:tcW w:w="3006"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spacing w:line="20" w:lineRule="exact"/>
        <w:ind w:left="-21" w:leftChars="-10" w:right="42" w:rightChars="20"/>
        <w:rPr>
          <w:rFonts w:hint="eastAsia"/>
        </w:rPr>
      </w:pPr>
    </w:p>
    <w:p>
      <w:pPr>
        <w:spacing w:line="600" w:lineRule="exact"/>
        <w:ind w:firstLine="640" w:firstLineChars="200"/>
        <w:rPr>
          <w:rFonts w:hint="eastAsia" w:ascii="仿宋_GB2312" w:hAnsi="宋体" w:eastAsia="仿宋_GB2312" w:cs="宋体"/>
          <w:color w:val="000000"/>
          <w:kern w:val="0"/>
          <w:sz w:val="32"/>
          <w:szCs w:val="32"/>
        </w:rPr>
      </w:pPr>
    </w:p>
    <w:p>
      <w:r>
        <w:rPr>
          <w:rFonts w:hint="eastAsia" w:ascii="方正小标宋简体" w:eastAsia="方正小标宋简体"/>
          <w:sz w:val="36"/>
          <w:szCs w:val="36"/>
        </w:rPr>
        <w:t xml:space="preserve"> </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ECF9C51"/>
    <w:rsid w:val="1BDF407B"/>
    <w:rsid w:val="36FFC571"/>
    <w:rsid w:val="37173543"/>
    <w:rsid w:val="3DE56102"/>
    <w:rsid w:val="3FF76880"/>
    <w:rsid w:val="4B67D09E"/>
    <w:rsid w:val="5BFB4D7E"/>
    <w:rsid w:val="5BFD4C84"/>
    <w:rsid w:val="5EE7CC06"/>
    <w:rsid w:val="5FBF7210"/>
    <w:rsid w:val="6FDDC135"/>
    <w:rsid w:val="6FF5743A"/>
    <w:rsid w:val="71F61CBA"/>
    <w:rsid w:val="776F743A"/>
    <w:rsid w:val="77FB15D1"/>
    <w:rsid w:val="7AB7FF50"/>
    <w:rsid w:val="7BFEB0DB"/>
    <w:rsid w:val="7DFE179B"/>
    <w:rsid w:val="7FFF3306"/>
    <w:rsid w:val="8B7F3954"/>
    <w:rsid w:val="9DDFBD61"/>
    <w:rsid w:val="AEAF6C02"/>
    <w:rsid w:val="B39BF94C"/>
    <w:rsid w:val="BF7730EA"/>
    <w:rsid w:val="BF7D3D2D"/>
    <w:rsid w:val="C36F37B1"/>
    <w:rsid w:val="CAED5F23"/>
    <w:rsid w:val="CEFD3F3D"/>
    <w:rsid w:val="DEDD60E3"/>
    <w:rsid w:val="DF6F3196"/>
    <w:rsid w:val="EA3F77F2"/>
    <w:rsid w:val="EEFE5989"/>
    <w:rsid w:val="EFCF3EAE"/>
    <w:rsid w:val="F3FE62EB"/>
    <w:rsid w:val="F5B764A2"/>
    <w:rsid w:val="F5DF9BCF"/>
    <w:rsid w:val="F5EE7C00"/>
    <w:rsid w:val="F75D1812"/>
    <w:rsid w:val="F77F09F4"/>
    <w:rsid w:val="F7FB4BB4"/>
    <w:rsid w:val="F9FF7DFE"/>
    <w:rsid w:val="FDF99DBD"/>
    <w:rsid w:val="FEEE25EA"/>
    <w:rsid w:val="FFD7B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2022-03-12T11:16:00Z</dcterms:created>
  <dc:creator>user</dc:creator>
  <cp:lastModifiedBy>liuruilong</cp:lastModifiedBy>
  <dcterms:modified xsi:type="dcterms:W3CDTF">2022-08-25T19:14:07Z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