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方正小标宋简体" w:eastAsia="方正小标宋简体"/>
          <w:sz w:val="44"/>
          <w:szCs w:val="44"/>
          <w:lang w:val="en-US" w:eastAsia="zh-CN"/>
        </w:rPr>
      </w:pPr>
    </w:p>
    <w:p>
      <w:pPr>
        <w:spacing w:line="56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中共北京市纪律检查委员会</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2021年度整体绩效</w:t>
      </w:r>
      <w:r>
        <w:rPr>
          <w:rFonts w:hint="eastAsia" w:ascii="方正小标宋简体" w:eastAsia="方正小标宋简体"/>
          <w:sz w:val="44"/>
          <w:szCs w:val="44"/>
          <w:lang w:eastAsia="zh-CN"/>
        </w:rPr>
        <w:t>评价</w:t>
      </w:r>
      <w:r>
        <w:rPr>
          <w:rFonts w:hint="eastAsia" w:ascii="方正小标宋简体" w:eastAsia="方正小标宋简体"/>
          <w:sz w:val="44"/>
          <w:szCs w:val="44"/>
        </w:rPr>
        <w:t>报告</w:t>
      </w:r>
    </w:p>
    <w:p>
      <w:pPr>
        <w:jc w:val="center"/>
        <w:rPr>
          <w:rFonts w:ascii="仿宋_GB2312"/>
          <w:szCs w:val="30"/>
        </w:rPr>
      </w:pPr>
    </w:p>
    <w:p>
      <w:pPr>
        <w:spacing w:line="600" w:lineRule="exact"/>
        <w:ind w:firstLine="640" w:firstLineChars="200"/>
        <w:rPr>
          <w:rFonts w:hint="eastAsia" w:ascii="黑体" w:hAnsi="黑体" w:eastAsia="黑体" w:cs="宋体"/>
          <w:color w:val="000000"/>
          <w:kern w:val="0"/>
          <w:sz w:val="32"/>
          <w:szCs w:val="32"/>
        </w:rPr>
      </w:pPr>
    </w:p>
    <w:p>
      <w:pPr>
        <w:spacing w:line="600" w:lineRule="exact"/>
        <w:ind w:firstLine="640" w:firstLineChars="200"/>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一、部门概况</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（一）机构设置及职责工作任务情况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中共北京市纪律检查委员会、北京市监察委员会是党统一领导下的反腐败工作机构。中共北</w:t>
      </w:r>
      <w:bookmarkStart w:id="0" w:name="_GoBack"/>
      <w:bookmarkEnd w:id="0"/>
      <w:r>
        <w:rPr>
          <w:rFonts w:hint="eastAsia" w:ascii="仿宋_GB2312" w:hAnsi="仿宋_GB2312" w:eastAsia="仿宋_GB2312" w:cs="仿宋_GB2312"/>
          <w:sz w:val="32"/>
          <w:szCs w:val="32"/>
        </w:rPr>
        <w:t>京市纪律检查委员会是党内监督专责机关，北京市监察委员会是行使国家监察职能的专责机关。中共北京市纪律检查委员会、北京市监察委员会合署办公，履行党的纪律检查、国家监察两项职责。</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（二）部门整体绩效目标设立情况</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2021年度，</w:t>
      </w:r>
      <w:r>
        <w:rPr>
          <w:rFonts w:hint="eastAsia" w:ascii="仿宋_GB2312" w:hAnsi="仿宋_GB2312" w:eastAsia="仿宋_GB2312" w:cs="仿宋_GB2312"/>
          <w:sz w:val="32"/>
          <w:szCs w:val="32"/>
        </w:rPr>
        <w:t>中共北京市纪律检查委员会</w:t>
      </w:r>
      <w:r>
        <w:rPr>
          <w:rFonts w:hint="eastAsia" w:ascii="仿宋_GB2312" w:hAnsi="仿宋_GB2312" w:eastAsia="仿宋_GB2312" w:cs="仿宋_GB2312"/>
          <w:sz w:val="32"/>
          <w:szCs w:val="32"/>
          <w:lang w:eastAsia="zh-CN"/>
        </w:rPr>
        <w:t>整体绩效目标设置为：以习近平新时代中国特色社会主义思想为指导，全面贯彻党的十九大和十九届二中、三中、四中、五中全会精神，增强“四个意识”、坚定“四个自信”、做到“两个维护”，坚持稳中求进工作总基调；协助党委深化全面从严治党，坚持和完善党和国家监督体系，强化对权力运行的制约和监督，一体推进不敢腐、不能腐、不想腐，在坚持和完善中国特色社会主义制度、推进国家治理体系和治理能力现代化中充分发挥监督保障执行、促进完善发展作用；建设高素质专业化纪检监察干部队伍；推动新时代首都纪检监察工作高质量发展；为胜利实现第一个百年奋斗目标、推动首都新发展提供坚强保障。</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目标设置紧密围绕</w:t>
      </w:r>
      <w:r>
        <w:rPr>
          <w:rFonts w:hint="eastAsia" w:ascii="仿宋_GB2312" w:hAnsi="仿宋_GB2312" w:eastAsia="仿宋_GB2312" w:cs="仿宋_GB2312"/>
          <w:sz w:val="32"/>
          <w:szCs w:val="32"/>
        </w:rPr>
        <w:t>中共北京市纪律检查委员会</w:t>
      </w:r>
      <w:r>
        <w:rPr>
          <w:rFonts w:hint="eastAsia" w:ascii="仿宋_GB2312" w:hAnsi="仿宋_GB2312" w:eastAsia="仿宋_GB2312" w:cs="仿宋_GB2312"/>
          <w:sz w:val="32"/>
          <w:szCs w:val="32"/>
          <w:lang w:eastAsia="zh-CN"/>
        </w:rPr>
        <w:t>主责主业，与市纪委全会年度工作报告相结合，发挥党内监督专责机关作用，具有较强的指导性。</w:t>
      </w:r>
    </w:p>
    <w:p>
      <w:pPr>
        <w:spacing w:line="60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二</w:t>
      </w:r>
      <w:r>
        <w:rPr>
          <w:rFonts w:ascii="黑体" w:hAnsi="黑体" w:eastAsia="黑体" w:cs="宋体"/>
          <w:color w:val="000000"/>
          <w:kern w:val="0"/>
          <w:sz w:val="32"/>
          <w:szCs w:val="32"/>
        </w:rPr>
        <w:t>、</w:t>
      </w:r>
      <w:r>
        <w:rPr>
          <w:rFonts w:hint="eastAsia" w:ascii="黑体" w:hAnsi="黑体" w:eastAsia="黑体" w:cs="宋体"/>
          <w:color w:val="000000"/>
          <w:kern w:val="0"/>
          <w:sz w:val="32"/>
          <w:szCs w:val="32"/>
        </w:rPr>
        <w:t>当年</w:t>
      </w:r>
      <w:r>
        <w:rPr>
          <w:rFonts w:ascii="黑体" w:hAnsi="黑体" w:eastAsia="黑体" w:cs="宋体"/>
          <w:color w:val="000000"/>
          <w:kern w:val="0"/>
          <w:sz w:val="32"/>
          <w:szCs w:val="32"/>
        </w:rPr>
        <w:t>预算执行情况</w:t>
      </w:r>
    </w:p>
    <w:p>
      <w:pPr>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202</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年</w:t>
      </w:r>
      <w:r>
        <w:rPr>
          <w:rFonts w:ascii="仿宋_GB2312" w:hAnsi="宋体" w:eastAsia="仿宋_GB2312" w:cs="宋体"/>
          <w:color w:val="000000"/>
          <w:kern w:val="0"/>
          <w:sz w:val="32"/>
          <w:szCs w:val="32"/>
        </w:rPr>
        <w:t>全年</w:t>
      </w:r>
      <w:r>
        <w:rPr>
          <w:rFonts w:hint="eastAsia" w:ascii="仿宋_GB2312" w:hAnsi="宋体" w:eastAsia="仿宋_GB2312" w:cs="宋体"/>
          <w:color w:val="000000"/>
          <w:kern w:val="0"/>
          <w:sz w:val="32"/>
          <w:szCs w:val="32"/>
        </w:rPr>
        <w:t>预算数84633.92万元</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其中</w:t>
      </w:r>
      <w:r>
        <w:rPr>
          <w:rFonts w:ascii="仿宋_GB2312" w:hAnsi="宋体" w:eastAsia="仿宋_GB2312" w:cs="宋体"/>
          <w:color w:val="000000"/>
          <w:kern w:val="0"/>
          <w:sz w:val="32"/>
          <w:szCs w:val="32"/>
        </w:rPr>
        <w:t>，基本</w:t>
      </w:r>
      <w:r>
        <w:rPr>
          <w:rFonts w:hint="eastAsia" w:ascii="仿宋_GB2312" w:hAnsi="宋体" w:eastAsia="仿宋_GB2312" w:cs="宋体"/>
          <w:color w:val="000000"/>
          <w:kern w:val="0"/>
          <w:sz w:val="32"/>
          <w:szCs w:val="32"/>
        </w:rPr>
        <w:t>支出</w:t>
      </w:r>
      <w:r>
        <w:rPr>
          <w:rFonts w:ascii="仿宋_GB2312" w:hAnsi="宋体" w:eastAsia="仿宋_GB2312" w:cs="宋体"/>
          <w:color w:val="000000"/>
          <w:kern w:val="0"/>
          <w:sz w:val="32"/>
          <w:szCs w:val="32"/>
        </w:rPr>
        <w:t>预算数</w:t>
      </w:r>
      <w:r>
        <w:rPr>
          <w:rFonts w:hint="eastAsia" w:ascii="仿宋_GB2312" w:hAnsi="宋体" w:eastAsia="仿宋_GB2312" w:cs="宋体"/>
          <w:color w:val="000000"/>
          <w:kern w:val="0"/>
          <w:sz w:val="32"/>
          <w:szCs w:val="32"/>
        </w:rPr>
        <w:t>24466.15万元</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项目支出预算数60167.77万元。</w:t>
      </w:r>
      <w:r>
        <w:rPr>
          <w:rFonts w:ascii="仿宋_GB2312" w:hAnsi="宋体" w:eastAsia="仿宋_GB2312" w:cs="宋体"/>
          <w:color w:val="000000"/>
          <w:kern w:val="0"/>
          <w:sz w:val="32"/>
          <w:szCs w:val="32"/>
        </w:rPr>
        <w:t>资金总体</w:t>
      </w:r>
      <w:r>
        <w:rPr>
          <w:rFonts w:hint="eastAsia" w:ascii="仿宋_GB2312" w:hAnsi="宋体" w:eastAsia="仿宋_GB2312" w:cs="宋体"/>
          <w:color w:val="000000"/>
          <w:kern w:val="0"/>
          <w:sz w:val="32"/>
          <w:szCs w:val="32"/>
        </w:rPr>
        <w:t>支出81469.57万元</w:t>
      </w:r>
      <w:r>
        <w:rPr>
          <w:rFonts w:ascii="仿宋_GB2312" w:hAnsi="宋体" w:eastAsia="仿宋_GB2312" w:cs="宋体"/>
          <w:color w:val="000000"/>
          <w:kern w:val="0"/>
          <w:sz w:val="32"/>
          <w:szCs w:val="32"/>
        </w:rPr>
        <w:t>，其中，基本支出</w:t>
      </w:r>
      <w:r>
        <w:rPr>
          <w:rFonts w:hint="eastAsia" w:ascii="仿宋_GB2312" w:eastAsia="仿宋_GB2312"/>
          <w:sz w:val="32"/>
          <w:szCs w:val="32"/>
        </w:rPr>
        <w:t>24199.23万元</w:t>
      </w:r>
      <w:r>
        <w:rPr>
          <w:rFonts w:ascii="仿宋_GB2312" w:hAnsi="宋体" w:eastAsia="仿宋_GB2312" w:cs="宋体"/>
          <w:color w:val="000000"/>
          <w:kern w:val="0"/>
          <w:sz w:val="32"/>
          <w:szCs w:val="32"/>
        </w:rPr>
        <w:t>，项目</w:t>
      </w:r>
      <w:r>
        <w:rPr>
          <w:rFonts w:hint="eastAsia" w:ascii="仿宋_GB2312" w:hAnsi="宋体" w:eastAsia="仿宋_GB2312" w:cs="宋体"/>
          <w:color w:val="000000"/>
          <w:kern w:val="0"/>
          <w:sz w:val="32"/>
          <w:szCs w:val="32"/>
        </w:rPr>
        <w:t>支出57270.34万元</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预算</w:t>
      </w:r>
      <w:r>
        <w:rPr>
          <w:rFonts w:ascii="仿宋_GB2312" w:hAnsi="宋体" w:eastAsia="仿宋_GB2312" w:cs="宋体"/>
          <w:color w:val="000000"/>
          <w:kern w:val="0"/>
          <w:sz w:val="32"/>
          <w:szCs w:val="32"/>
        </w:rPr>
        <w:t>执行率为</w:t>
      </w:r>
      <w:r>
        <w:rPr>
          <w:rFonts w:hint="eastAsia" w:ascii="仿宋_GB2312" w:hAnsi="宋体" w:eastAsia="仿宋_GB2312" w:cs="宋体"/>
          <w:color w:val="000000"/>
          <w:kern w:val="0"/>
          <w:sz w:val="32"/>
          <w:szCs w:val="32"/>
          <w:lang w:val="en-US" w:eastAsia="zh-CN"/>
        </w:rPr>
        <w:t>96.26%</w:t>
      </w:r>
      <w:r>
        <w:rPr>
          <w:rFonts w:hint="eastAsia" w:ascii="仿宋_GB2312" w:hAnsi="宋体" w:eastAsia="仿宋_GB2312" w:cs="宋体"/>
          <w:color w:val="000000"/>
          <w:kern w:val="0"/>
          <w:sz w:val="32"/>
          <w:szCs w:val="32"/>
        </w:rPr>
        <w:t>。</w:t>
      </w:r>
    </w:p>
    <w:p>
      <w:pPr>
        <w:spacing w:line="600" w:lineRule="exact"/>
        <w:ind w:left="105" w:leftChars="50" w:firstLine="480" w:firstLineChars="150"/>
        <w:rPr>
          <w:rFonts w:ascii="黑体" w:hAnsi="黑体" w:eastAsia="黑体" w:cs="宋体"/>
          <w:color w:val="000000"/>
          <w:kern w:val="0"/>
          <w:sz w:val="32"/>
          <w:szCs w:val="32"/>
        </w:rPr>
      </w:pPr>
      <w:r>
        <w:rPr>
          <w:rFonts w:hint="eastAsia" w:ascii="黑体" w:hAnsi="黑体" w:eastAsia="黑体" w:cs="宋体"/>
          <w:color w:val="000000"/>
          <w:kern w:val="0"/>
          <w:sz w:val="32"/>
          <w:szCs w:val="32"/>
        </w:rPr>
        <w:t>三</w:t>
      </w:r>
      <w:r>
        <w:rPr>
          <w:rFonts w:ascii="黑体" w:hAnsi="黑体" w:eastAsia="黑体" w:cs="宋体"/>
          <w:color w:val="000000"/>
          <w:kern w:val="0"/>
          <w:sz w:val="32"/>
          <w:szCs w:val="32"/>
        </w:rPr>
        <w:t>、整体绩效目标实现情况</w:t>
      </w:r>
    </w:p>
    <w:p>
      <w:pPr>
        <w:keepNext w:val="0"/>
        <w:keepLines w:val="0"/>
        <w:pageBreakBefore w:val="0"/>
        <w:widowControl w:val="0"/>
        <w:kinsoku/>
        <w:wordWrap/>
        <w:overflowPunct/>
        <w:topLinePunct w:val="0"/>
        <w:autoSpaceDE/>
        <w:autoSpaceDN/>
        <w:bidi w:val="0"/>
        <w:adjustRightInd/>
        <w:snapToGrid/>
        <w:spacing w:line="600" w:lineRule="exact"/>
        <w:ind w:left="105" w:leftChars="50" w:firstLine="640" w:firstLineChars="200"/>
        <w:textAlignment w:val="auto"/>
        <w:rPr>
          <w:rFonts w:ascii="楷体_GB2312" w:eastAsia="楷体_GB2312"/>
          <w:sz w:val="32"/>
          <w:szCs w:val="32"/>
        </w:rPr>
      </w:pPr>
      <w:r>
        <w:rPr>
          <w:rFonts w:hint="eastAsia" w:ascii="楷体_GB2312" w:eastAsia="楷体_GB2312"/>
          <w:sz w:val="32"/>
          <w:szCs w:val="32"/>
        </w:rPr>
        <w:t>（一）产出完成情况分析</w:t>
      </w:r>
    </w:p>
    <w:p>
      <w:pPr>
        <w:keepNext w:val="0"/>
        <w:keepLines w:val="0"/>
        <w:pageBreakBefore w:val="0"/>
        <w:widowControl w:val="0"/>
        <w:kinsoku/>
        <w:wordWrap/>
        <w:overflowPunct/>
        <w:topLinePunct w:val="0"/>
        <w:autoSpaceDE/>
        <w:autoSpaceDN/>
        <w:bidi w:val="0"/>
        <w:adjustRightInd/>
        <w:snapToGrid/>
        <w:spacing w:line="600" w:lineRule="exact"/>
        <w:ind w:left="105" w:leftChars="50" w:firstLine="640" w:firstLineChars="200"/>
        <w:textAlignment w:val="auto"/>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1.产出数量</w:t>
      </w:r>
      <w:r>
        <w:rPr>
          <w:rFonts w:hint="eastAsia" w:ascii="仿宋_GB2312" w:hAnsi="宋体" w:eastAsia="仿宋_GB2312" w:cs="宋体"/>
          <w:color w:val="000000"/>
          <w:kern w:val="0"/>
          <w:sz w:val="32"/>
          <w:szCs w:val="32"/>
          <w:lang w:eastAsia="zh-CN"/>
        </w:rPr>
        <w:t>。坚持有腐必反、有案必查，全市纪检监察机关共立案4465件、给予党纪政务处分3641人。保持追逃追赃高压态势，全市共追回20名外逃人员，追缴涉案赃款1318万余元。坚持受贿行贿一起查，查处涉嫌行贿违法犯罪案件174件。</w:t>
      </w:r>
      <w:r>
        <w:rPr>
          <w:rFonts w:hint="eastAsia" w:ascii="仿宋_GB2312" w:hAnsi="黑体" w:eastAsia="仿宋_GB2312"/>
          <w:sz w:val="32"/>
          <w:szCs w:val="32"/>
          <w:lang w:val="en-US" w:eastAsia="zh-CN"/>
        </w:rPr>
        <w:t>全市查处违反中央八项规定精神问题673人，给予党纪政务处分542人，其他处理131人。</w:t>
      </w:r>
      <w:r>
        <w:rPr>
          <w:rFonts w:hint="eastAsia" w:ascii="仿宋_GB2312" w:hAnsi="黑体" w:eastAsia="仿宋_GB2312"/>
          <w:sz w:val="32"/>
          <w:szCs w:val="32"/>
        </w:rPr>
        <w:t>完成市委第十一至十三轮对74个地区和单位党组织的常规巡视、对5个单位党组织的巡视“回头看”</w:t>
      </w:r>
      <w:r>
        <w:rPr>
          <w:rFonts w:hint="eastAsia" w:ascii="仿宋_GB2312" w:hAnsi="黑体" w:eastAsia="仿宋_GB2312"/>
          <w:sz w:val="32"/>
          <w:szCs w:val="32"/>
          <w:lang w:eastAsia="zh-CN"/>
        </w:rPr>
        <w:t>，</w:t>
      </w:r>
      <w:r>
        <w:rPr>
          <w:rFonts w:hint="eastAsia" w:ascii="仿宋_GB2312" w:hAnsi="黑体" w:eastAsia="仿宋_GB2312"/>
          <w:sz w:val="32"/>
          <w:szCs w:val="32"/>
        </w:rPr>
        <w:t>实现了十二届市委任期内巡视全覆盖的目标。组织和选派干部参加各级各类培训班</w:t>
      </w:r>
      <w:r>
        <w:rPr>
          <w:rFonts w:hint="eastAsia" w:ascii="仿宋_GB2312" w:hAnsi="黑体" w:eastAsia="仿宋_GB2312"/>
          <w:sz w:val="32"/>
          <w:szCs w:val="32"/>
          <w:lang w:val="en-US" w:eastAsia="zh-CN"/>
        </w:rPr>
        <w:t>102期，业务大讲堂22讲，脱产培训2794人次，专题辅导7358余人次</w:t>
      </w:r>
      <w:r>
        <w:rPr>
          <w:rFonts w:hint="eastAsia" w:ascii="仿宋_GB2312" w:hAnsi="黑体" w:eastAsia="仿宋_GB2312"/>
          <w:sz w:val="32"/>
          <w:szCs w:val="32"/>
        </w:rPr>
        <w:t>。</w:t>
      </w:r>
      <w:r>
        <w:rPr>
          <w:rFonts w:hint="eastAsia" w:ascii="仿宋_GB2312" w:hAnsi="黑体" w:eastAsia="仿宋_GB2312"/>
          <w:sz w:val="32"/>
          <w:szCs w:val="32"/>
          <w:lang w:val="en-US" w:eastAsia="zh-CN"/>
        </w:rPr>
        <w:t>利用北京电视台节目、北京日报专栏、“清风北京”微信公众号等传播渠道，制作电视节目52期、短视频40个、警示教育光盘6000余套，宣传全市纪检监察工作。</w:t>
      </w:r>
    </w:p>
    <w:p>
      <w:pPr>
        <w:keepNext w:val="0"/>
        <w:keepLines w:val="0"/>
        <w:pageBreakBefore w:val="0"/>
        <w:widowControl w:val="0"/>
        <w:kinsoku/>
        <w:wordWrap/>
        <w:overflowPunct/>
        <w:topLinePunct w:val="0"/>
        <w:autoSpaceDE/>
        <w:autoSpaceDN/>
        <w:bidi w:val="0"/>
        <w:adjustRightInd/>
        <w:snapToGrid/>
        <w:spacing w:line="600" w:lineRule="exact"/>
        <w:ind w:left="105" w:leftChars="50" w:firstLine="640" w:firstLineChars="200"/>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2.产出</w:t>
      </w:r>
      <w:r>
        <w:rPr>
          <w:rFonts w:ascii="仿宋_GB2312" w:hAnsi="宋体" w:eastAsia="仿宋_GB2312" w:cs="宋体"/>
          <w:color w:val="000000"/>
          <w:kern w:val="0"/>
          <w:sz w:val="32"/>
          <w:szCs w:val="32"/>
        </w:rPr>
        <w:t>质量</w:t>
      </w:r>
      <w:r>
        <w:rPr>
          <w:rFonts w:hint="eastAsia" w:ascii="仿宋_GB2312" w:hAnsi="宋体" w:eastAsia="仿宋_GB2312" w:cs="宋体"/>
          <w:color w:val="000000"/>
          <w:kern w:val="0"/>
          <w:sz w:val="32"/>
          <w:szCs w:val="32"/>
          <w:lang w:eastAsia="zh-CN"/>
        </w:rPr>
        <w:t>。</w:t>
      </w:r>
      <w:r>
        <w:rPr>
          <w:rFonts w:hint="eastAsia" w:ascii="仿宋_GB2312" w:hAnsi="黑体" w:eastAsia="仿宋_GB2312"/>
          <w:sz w:val="32"/>
          <w:szCs w:val="32"/>
          <w:lang w:eastAsia="zh-CN"/>
        </w:rPr>
        <w:t>在</w:t>
      </w:r>
      <w:r>
        <w:rPr>
          <w:rFonts w:hint="eastAsia" w:ascii="仿宋_GB2312" w:hAnsi="黑体" w:eastAsia="仿宋_GB2312"/>
          <w:sz w:val="32"/>
          <w:szCs w:val="32"/>
        </w:rPr>
        <w:t>加强党史学习</w:t>
      </w:r>
      <w:r>
        <w:rPr>
          <w:rFonts w:hint="eastAsia" w:ascii="仿宋_GB2312" w:hAnsi="黑体" w:eastAsia="仿宋_GB2312"/>
          <w:sz w:val="32"/>
          <w:szCs w:val="32"/>
          <w:lang w:eastAsia="zh-CN"/>
        </w:rPr>
        <w:t>教育中</w:t>
      </w:r>
      <w:r>
        <w:rPr>
          <w:rFonts w:hint="eastAsia" w:ascii="仿宋_GB2312" w:hAnsi="黑体" w:eastAsia="仿宋_GB2312"/>
          <w:sz w:val="32"/>
          <w:szCs w:val="32"/>
        </w:rPr>
        <w:t>坚定正确方向</w:t>
      </w:r>
      <w:r>
        <w:rPr>
          <w:rFonts w:hint="eastAsia" w:ascii="仿宋_GB2312" w:hAnsi="黑体" w:eastAsia="仿宋_GB2312"/>
          <w:sz w:val="32"/>
          <w:szCs w:val="32"/>
          <w:lang w:eastAsia="zh-CN"/>
        </w:rPr>
        <w:t>，在保障</w:t>
      </w:r>
      <w:r>
        <w:rPr>
          <w:rFonts w:hint="eastAsia" w:ascii="仿宋_GB2312" w:hAnsi="黑体" w:eastAsia="仿宋_GB2312"/>
          <w:sz w:val="32"/>
          <w:szCs w:val="32"/>
        </w:rPr>
        <w:t>习近平总书记重要指示批示精神落实</w:t>
      </w:r>
      <w:r>
        <w:rPr>
          <w:rFonts w:hint="eastAsia" w:ascii="仿宋_GB2312" w:hAnsi="黑体" w:eastAsia="仿宋_GB2312"/>
          <w:sz w:val="32"/>
          <w:szCs w:val="32"/>
          <w:lang w:eastAsia="zh-CN"/>
        </w:rPr>
        <w:t>中</w:t>
      </w:r>
      <w:r>
        <w:rPr>
          <w:rFonts w:hint="eastAsia" w:ascii="仿宋_GB2312" w:hAnsi="黑体" w:eastAsia="仿宋_GB2312"/>
          <w:sz w:val="32"/>
          <w:szCs w:val="32"/>
        </w:rPr>
        <w:t>强化政治监督</w:t>
      </w:r>
      <w:r>
        <w:rPr>
          <w:rFonts w:hint="eastAsia" w:ascii="仿宋_GB2312" w:hAnsi="黑体" w:eastAsia="仿宋_GB2312"/>
          <w:sz w:val="32"/>
          <w:szCs w:val="32"/>
          <w:lang w:eastAsia="zh-CN"/>
        </w:rPr>
        <w:t>，</w:t>
      </w:r>
      <w:r>
        <w:rPr>
          <w:rFonts w:hint="eastAsia" w:ascii="仿宋_GB2312" w:hAnsi="黑体" w:eastAsia="仿宋_GB2312"/>
          <w:sz w:val="32"/>
          <w:szCs w:val="32"/>
        </w:rPr>
        <w:t>在首都大事要务中充分发挥监督保障作用</w:t>
      </w:r>
      <w:r>
        <w:rPr>
          <w:rFonts w:hint="eastAsia" w:ascii="仿宋_GB2312" w:hAnsi="黑体" w:eastAsia="仿宋_GB2312"/>
          <w:sz w:val="32"/>
          <w:szCs w:val="32"/>
          <w:lang w:eastAsia="zh-CN"/>
        </w:rPr>
        <w:t>。</w:t>
      </w:r>
      <w:r>
        <w:rPr>
          <w:rFonts w:hint="eastAsia" w:ascii="仿宋_GB2312" w:hAnsi="黑体" w:eastAsia="仿宋_GB2312"/>
          <w:sz w:val="32"/>
          <w:szCs w:val="32"/>
        </w:rPr>
        <w:t>始终保持不敢腐的高压态势</w:t>
      </w:r>
      <w:r>
        <w:rPr>
          <w:rFonts w:hint="eastAsia" w:ascii="仿宋_GB2312" w:hAnsi="黑体" w:eastAsia="仿宋_GB2312"/>
          <w:sz w:val="32"/>
          <w:szCs w:val="32"/>
          <w:lang w:eastAsia="zh-CN"/>
        </w:rPr>
        <w:t>，</w:t>
      </w:r>
      <w:r>
        <w:rPr>
          <w:rFonts w:hint="eastAsia" w:ascii="仿宋_GB2312" w:hAnsi="黑体" w:eastAsia="仿宋_GB2312"/>
          <w:sz w:val="32"/>
          <w:szCs w:val="32"/>
        </w:rPr>
        <w:t>保持重点领域反腐强劲势头</w:t>
      </w:r>
      <w:r>
        <w:rPr>
          <w:rFonts w:hint="eastAsia" w:ascii="仿宋_GB2312" w:hAnsi="黑体" w:eastAsia="仿宋_GB2312"/>
          <w:sz w:val="32"/>
          <w:szCs w:val="32"/>
          <w:lang w:eastAsia="zh-CN"/>
        </w:rPr>
        <w:t>，</w:t>
      </w:r>
      <w:r>
        <w:rPr>
          <w:rFonts w:hint="eastAsia" w:ascii="仿宋_GB2312" w:hAnsi="黑体" w:eastAsia="仿宋_GB2312"/>
          <w:sz w:val="32"/>
          <w:szCs w:val="32"/>
        </w:rPr>
        <w:t>深化以案促改、以案促治。坚决防止“四风”问题反弹回潮</w:t>
      </w:r>
      <w:r>
        <w:rPr>
          <w:rFonts w:hint="eastAsia" w:ascii="仿宋_GB2312" w:hAnsi="黑体" w:eastAsia="仿宋_GB2312"/>
          <w:sz w:val="32"/>
          <w:szCs w:val="32"/>
          <w:lang w:eastAsia="zh-CN"/>
        </w:rPr>
        <w:t>，</w:t>
      </w:r>
      <w:r>
        <w:rPr>
          <w:rFonts w:hint="eastAsia" w:ascii="仿宋_GB2312" w:hAnsi="黑体" w:eastAsia="仿宋_GB2312"/>
          <w:sz w:val="32"/>
          <w:szCs w:val="32"/>
        </w:rPr>
        <w:t>推动解决群众“急难愁盼”问题监督。</w:t>
      </w:r>
      <w:r>
        <w:rPr>
          <w:rFonts w:hint="eastAsia" w:ascii="仿宋_GB2312" w:hAnsi="黑体" w:eastAsia="仿宋_GB2312"/>
          <w:sz w:val="32"/>
          <w:szCs w:val="32"/>
          <w:lang w:eastAsia="zh-CN"/>
        </w:rPr>
        <w:t>全年各项工作得到中央纪委、中共北京市委认可。</w:t>
      </w:r>
    </w:p>
    <w:p>
      <w:pPr>
        <w:keepNext w:val="0"/>
        <w:keepLines w:val="0"/>
        <w:pageBreakBefore w:val="0"/>
        <w:widowControl w:val="0"/>
        <w:kinsoku/>
        <w:wordWrap/>
        <w:overflowPunct/>
        <w:topLinePunct w:val="0"/>
        <w:autoSpaceDE/>
        <w:autoSpaceDN/>
        <w:bidi w:val="0"/>
        <w:adjustRightInd/>
        <w:snapToGrid/>
        <w:spacing w:line="600" w:lineRule="exact"/>
        <w:ind w:left="105" w:leftChars="50" w:firstLine="640" w:firstLineChars="200"/>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3.产出</w:t>
      </w:r>
      <w:r>
        <w:rPr>
          <w:rFonts w:ascii="仿宋_GB2312" w:hAnsi="宋体" w:eastAsia="仿宋_GB2312" w:cs="宋体"/>
          <w:color w:val="000000"/>
          <w:kern w:val="0"/>
          <w:sz w:val="32"/>
          <w:szCs w:val="32"/>
        </w:rPr>
        <w:t>进度</w:t>
      </w:r>
      <w:r>
        <w:rPr>
          <w:rFonts w:hint="eastAsia" w:ascii="仿宋_GB2312" w:hAnsi="宋体" w:eastAsia="仿宋_GB2312" w:cs="宋体"/>
          <w:color w:val="000000"/>
          <w:kern w:val="0"/>
          <w:sz w:val="32"/>
          <w:szCs w:val="32"/>
          <w:lang w:eastAsia="zh-CN"/>
        </w:rPr>
        <w:t>。坚持作风建设永远在路上，反腐败不停歇，监督检查和审查调查工作贯穿全年。年初至年末，集中开展三轮市委巡视工作。整体预算支出进度与工作任务推进情况基本匹配，全年预算执行率</w:t>
      </w:r>
      <w:r>
        <w:rPr>
          <w:rFonts w:hint="eastAsia" w:ascii="仿宋_GB2312" w:hAnsi="宋体" w:eastAsia="仿宋_GB2312" w:cs="宋体"/>
          <w:color w:val="000000"/>
          <w:kern w:val="0"/>
          <w:sz w:val="32"/>
          <w:szCs w:val="32"/>
          <w:lang w:val="en-US" w:eastAsia="zh-CN"/>
        </w:rPr>
        <w:t>96.26%</w:t>
      </w:r>
      <w:r>
        <w:rPr>
          <w:rFonts w:hint="eastAsia" w:ascii="仿宋_GB2312" w:hAnsi="宋体" w:eastAsia="仿宋_GB2312" w:cs="宋体"/>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105" w:leftChars="50"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产出</w:t>
      </w:r>
      <w:r>
        <w:rPr>
          <w:rFonts w:ascii="仿宋_GB2312" w:hAnsi="宋体" w:eastAsia="仿宋_GB2312" w:cs="宋体"/>
          <w:color w:val="000000"/>
          <w:kern w:val="0"/>
          <w:sz w:val="32"/>
          <w:szCs w:val="32"/>
        </w:rPr>
        <w:t>成本</w:t>
      </w:r>
      <w:r>
        <w:rPr>
          <w:rFonts w:hint="eastAsia" w:ascii="仿宋_GB2312" w:hAnsi="宋体" w:eastAsia="仿宋_GB2312" w:cs="宋体"/>
          <w:color w:val="000000"/>
          <w:kern w:val="0"/>
          <w:sz w:val="32"/>
          <w:szCs w:val="32"/>
          <w:lang w:eastAsia="zh-CN"/>
        </w:rPr>
        <w:t>。坚决落实政府过“紧日子”要求，坚持厉行节约办一切事业。全年会议、培训等多采取线上视频方式举办，严控非必要差旅外出活动，大幅压缩三公经费等相关支出。下半年结合疫情防控形势和工作任务变化，主动开展两轮预算调整，压缩非紧急、非刚性的一般性支出，调整用于新增重点工作事项。</w:t>
      </w:r>
      <w:r>
        <w:rPr>
          <w:rFonts w:hint="eastAsia" w:ascii="仿宋_GB2312" w:hAnsi="宋体" w:eastAsia="仿宋_GB2312" w:cs="宋体"/>
          <w:color w:val="000000"/>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105" w:leftChars="50" w:firstLine="640" w:firstLineChars="200"/>
        <w:textAlignment w:val="auto"/>
        <w:rPr>
          <w:rFonts w:ascii="楷体_GB2312" w:eastAsia="楷体_GB2312"/>
          <w:sz w:val="32"/>
          <w:szCs w:val="32"/>
        </w:rPr>
      </w:pPr>
      <w:r>
        <w:rPr>
          <w:rFonts w:hint="eastAsia" w:ascii="楷体_GB2312" w:eastAsia="楷体_GB2312"/>
          <w:sz w:val="32"/>
          <w:szCs w:val="32"/>
        </w:rPr>
        <w:t>（二）效果</w:t>
      </w:r>
      <w:r>
        <w:rPr>
          <w:rFonts w:ascii="楷体_GB2312" w:eastAsia="楷体_GB2312"/>
          <w:sz w:val="32"/>
          <w:szCs w:val="32"/>
        </w:rPr>
        <w:t>实现情况分析</w:t>
      </w:r>
    </w:p>
    <w:p>
      <w:pPr>
        <w:keepNext w:val="0"/>
        <w:keepLines w:val="0"/>
        <w:pageBreakBefore w:val="0"/>
        <w:widowControl w:val="0"/>
        <w:kinsoku/>
        <w:wordWrap/>
        <w:overflowPunct/>
        <w:topLinePunct w:val="0"/>
        <w:autoSpaceDE/>
        <w:autoSpaceDN/>
        <w:bidi w:val="0"/>
        <w:adjustRightInd/>
        <w:snapToGrid/>
        <w:spacing w:line="600" w:lineRule="exact"/>
        <w:ind w:left="105" w:leftChars="50" w:firstLine="640" w:firstLineChars="200"/>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1.经济</w:t>
      </w:r>
      <w:r>
        <w:rPr>
          <w:rFonts w:ascii="仿宋_GB2312" w:hAnsi="宋体" w:eastAsia="仿宋_GB2312" w:cs="宋体"/>
          <w:color w:val="000000"/>
          <w:kern w:val="0"/>
          <w:sz w:val="32"/>
          <w:szCs w:val="32"/>
        </w:rPr>
        <w:t>效益</w:t>
      </w:r>
      <w:r>
        <w:rPr>
          <w:rFonts w:hint="eastAsia" w:ascii="仿宋_GB2312" w:hAnsi="宋体" w:eastAsia="仿宋_GB2312" w:cs="宋体"/>
          <w:color w:val="000000"/>
          <w:kern w:val="0"/>
          <w:sz w:val="32"/>
          <w:szCs w:val="32"/>
          <w:lang w:eastAsia="zh-CN"/>
        </w:rPr>
        <w:t>。一体推进不敢腐、不能腐、不想腐，清理腐败存量、控制腐败增量，查办大批公职人员违法违纪案件，追缴违纪违法所得，形成强大震慑力，减少贪污腐败、行贿受贿问题，间接挽回国有资产和社会经济损失。</w:t>
      </w:r>
    </w:p>
    <w:p>
      <w:pPr>
        <w:keepNext w:val="0"/>
        <w:keepLines w:val="0"/>
        <w:pageBreakBefore w:val="0"/>
        <w:widowControl w:val="0"/>
        <w:kinsoku/>
        <w:wordWrap/>
        <w:overflowPunct/>
        <w:topLinePunct w:val="0"/>
        <w:autoSpaceDE/>
        <w:autoSpaceDN/>
        <w:bidi w:val="0"/>
        <w:adjustRightInd/>
        <w:snapToGrid/>
        <w:spacing w:line="600" w:lineRule="exact"/>
        <w:ind w:left="105" w:leftChars="50" w:firstLine="640" w:firstLineChars="200"/>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2.社会效益</w:t>
      </w:r>
      <w:r>
        <w:rPr>
          <w:rFonts w:hint="eastAsia" w:ascii="仿宋_GB2312" w:hAnsi="宋体" w:eastAsia="仿宋_GB2312" w:cs="宋体"/>
          <w:color w:val="000000"/>
          <w:kern w:val="0"/>
          <w:sz w:val="32"/>
          <w:szCs w:val="32"/>
          <w:lang w:eastAsia="zh-CN"/>
        </w:rPr>
        <w:t>。加强政治监督，促进各级行政事业单位党组织和公职人员正确履职，推动中央、市委各项政策在北京落地生根，服务全市经济社会发展。通过纠治“四风”问题，治理侵害群众利益的顽瘴痼疾，使人民群众得到实实在在的好处，增强人民群众的获得感、幸福感。打造清廉的社会风气，增强各级党组织凝聚力、战斗力。</w:t>
      </w:r>
    </w:p>
    <w:p>
      <w:pPr>
        <w:spacing w:line="600" w:lineRule="exact"/>
        <w:ind w:left="105" w:leftChars="50" w:firstLine="480" w:firstLineChars="150"/>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四</w:t>
      </w:r>
      <w:r>
        <w:rPr>
          <w:rFonts w:ascii="黑体" w:hAnsi="黑体" w:eastAsia="黑体" w:cs="宋体"/>
          <w:color w:val="000000"/>
          <w:kern w:val="0"/>
          <w:sz w:val="32"/>
          <w:szCs w:val="32"/>
        </w:rPr>
        <w:t>、预算管理</w:t>
      </w:r>
      <w:r>
        <w:rPr>
          <w:rFonts w:hint="eastAsia" w:ascii="黑体" w:hAnsi="黑体" w:eastAsia="黑体" w:cs="宋体"/>
          <w:color w:val="000000"/>
          <w:kern w:val="0"/>
          <w:sz w:val="32"/>
          <w:szCs w:val="32"/>
        </w:rPr>
        <w:t>情况分</w:t>
      </w:r>
      <w:r>
        <w:rPr>
          <w:rFonts w:ascii="黑体" w:hAnsi="黑体" w:eastAsia="黑体" w:cs="宋体"/>
          <w:color w:val="000000"/>
          <w:kern w:val="0"/>
          <w:sz w:val="32"/>
          <w:szCs w:val="32"/>
        </w:rPr>
        <w:t>析</w:t>
      </w:r>
    </w:p>
    <w:p>
      <w:pPr>
        <w:spacing w:line="600" w:lineRule="exact"/>
        <w:ind w:left="105" w:leftChars="50" w:firstLine="480" w:firstLineChars="150"/>
        <w:rPr>
          <w:rFonts w:ascii="楷体_GB2312" w:eastAsia="楷体_GB2312"/>
          <w:sz w:val="32"/>
          <w:szCs w:val="32"/>
        </w:rPr>
      </w:pPr>
      <w:r>
        <w:rPr>
          <w:rFonts w:hint="eastAsia" w:ascii="楷体_GB2312" w:eastAsia="楷体_GB2312"/>
          <w:sz w:val="32"/>
          <w:szCs w:val="32"/>
        </w:rPr>
        <w:t>（一）财务管理</w:t>
      </w:r>
    </w:p>
    <w:p>
      <w:pPr>
        <w:keepNext w:val="0"/>
        <w:keepLines w:val="0"/>
        <w:pageBreakBefore w:val="0"/>
        <w:widowControl w:val="0"/>
        <w:kinsoku/>
        <w:wordWrap/>
        <w:overflowPunct/>
        <w:topLinePunct w:val="0"/>
        <w:autoSpaceDE/>
        <w:autoSpaceDN/>
        <w:bidi w:val="0"/>
        <w:adjustRightInd/>
        <w:snapToGrid/>
        <w:spacing w:line="600" w:lineRule="exact"/>
        <w:ind w:left="105" w:leftChars="50" w:firstLine="640" w:firstLineChars="200"/>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1.财务</w:t>
      </w:r>
      <w:r>
        <w:rPr>
          <w:rFonts w:ascii="仿宋_GB2312" w:hAnsi="宋体" w:eastAsia="仿宋_GB2312" w:cs="宋体"/>
          <w:color w:val="000000"/>
          <w:kern w:val="0"/>
          <w:sz w:val="32"/>
          <w:szCs w:val="32"/>
        </w:rPr>
        <w:t>管理制度</w:t>
      </w:r>
      <w:r>
        <w:rPr>
          <w:rFonts w:hint="eastAsia" w:ascii="仿宋_GB2312" w:hAnsi="宋体" w:eastAsia="仿宋_GB2312" w:cs="宋体"/>
          <w:color w:val="000000"/>
          <w:kern w:val="0"/>
          <w:sz w:val="32"/>
          <w:szCs w:val="32"/>
          <w:lang w:eastAsia="zh-CN"/>
        </w:rPr>
        <w:t>建设不断完善。构建《北京市纪委市监委机关财务管理制度》《北京市纪委市监委机关经费支出管理办法》等制度体系，完善内部控制程序，编制《内部控制管理手册》。</w:t>
      </w:r>
    </w:p>
    <w:p>
      <w:pPr>
        <w:keepNext w:val="0"/>
        <w:keepLines w:val="0"/>
        <w:pageBreakBefore w:val="0"/>
        <w:widowControl w:val="0"/>
        <w:kinsoku/>
        <w:wordWrap/>
        <w:overflowPunct/>
        <w:topLinePunct w:val="0"/>
        <w:autoSpaceDE/>
        <w:autoSpaceDN/>
        <w:bidi w:val="0"/>
        <w:adjustRightInd/>
        <w:snapToGrid/>
        <w:spacing w:line="600" w:lineRule="exact"/>
        <w:ind w:left="105" w:leftChars="50" w:firstLine="640" w:firstLineChars="200"/>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2.资金使用</w:t>
      </w:r>
      <w:r>
        <w:rPr>
          <w:rFonts w:hint="eastAsia" w:ascii="仿宋_GB2312" w:hAnsi="宋体" w:eastAsia="仿宋_GB2312" w:cs="宋体"/>
          <w:color w:val="000000"/>
          <w:kern w:val="0"/>
          <w:sz w:val="32"/>
          <w:szCs w:val="32"/>
          <w:lang w:eastAsia="zh-CN"/>
        </w:rPr>
        <w:t>整体合规、安全。落实内控要求，预算编制及调整、大额资金使用等事项逐级报批，并报市纪委书记专题会、常委会研究。各项经济合同经法规室审核。经费支出逐级审批，出纳、会计岗位分离并形成监督制约。</w:t>
      </w:r>
    </w:p>
    <w:p>
      <w:pPr>
        <w:keepNext w:val="0"/>
        <w:keepLines w:val="0"/>
        <w:pageBreakBefore w:val="0"/>
        <w:widowControl w:val="0"/>
        <w:kinsoku/>
        <w:wordWrap/>
        <w:overflowPunct/>
        <w:topLinePunct w:val="0"/>
        <w:autoSpaceDE/>
        <w:autoSpaceDN/>
        <w:bidi w:val="0"/>
        <w:adjustRightInd/>
        <w:snapToGrid/>
        <w:spacing w:line="600" w:lineRule="exact"/>
        <w:ind w:left="105" w:leftChars="50" w:firstLine="640" w:firstLineChars="200"/>
        <w:textAlignment w:val="auto"/>
        <w:rPr>
          <w:rFonts w:hint="eastAsia" w:ascii="仿宋_GB2312" w:hAnsi="宋体" w:eastAsia="仿宋_GB2312" w:cs="宋体"/>
          <w:color w:val="000000"/>
          <w:kern w:val="0"/>
          <w:sz w:val="32"/>
          <w:szCs w:val="32"/>
          <w:lang w:eastAsia="zh-CN"/>
        </w:rPr>
      </w:pP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会计</w:t>
      </w:r>
      <w:r>
        <w:rPr>
          <w:rFonts w:ascii="仿宋_GB2312" w:hAnsi="宋体" w:eastAsia="仿宋_GB2312" w:cs="宋体"/>
          <w:color w:val="000000"/>
          <w:kern w:val="0"/>
          <w:sz w:val="32"/>
          <w:szCs w:val="32"/>
        </w:rPr>
        <w:t>基础信息完善</w:t>
      </w:r>
      <w:r>
        <w:rPr>
          <w:rFonts w:hint="eastAsia" w:ascii="仿宋_GB2312" w:hAnsi="宋体" w:eastAsia="仿宋_GB2312" w:cs="宋体"/>
          <w:color w:val="000000"/>
          <w:kern w:val="0"/>
          <w:sz w:val="32"/>
          <w:szCs w:val="32"/>
          <w:lang w:eastAsia="zh-CN"/>
        </w:rPr>
        <w:t>。会计凭证要素完整，原始凭证、记账凭证，附件齐全。账务记录完整准确，决算编制各报表与会计账相符。</w:t>
      </w:r>
    </w:p>
    <w:p>
      <w:pPr>
        <w:spacing w:line="600" w:lineRule="exact"/>
        <w:ind w:left="105" w:leftChars="50" w:firstLine="480" w:firstLineChars="150"/>
        <w:rPr>
          <w:rFonts w:hint="eastAsia" w:ascii="楷体_GB2312" w:eastAsia="楷体_GB2312"/>
          <w:sz w:val="32"/>
          <w:szCs w:val="32"/>
        </w:rPr>
      </w:pPr>
      <w:r>
        <w:rPr>
          <w:rFonts w:hint="eastAsia" w:ascii="楷体_GB2312" w:eastAsia="楷体_GB2312"/>
          <w:sz w:val="32"/>
          <w:szCs w:val="32"/>
        </w:rPr>
        <w:t>（二）资产管理</w:t>
      </w:r>
    </w:p>
    <w:p>
      <w:pPr>
        <w:keepNext w:val="0"/>
        <w:keepLines w:val="0"/>
        <w:pageBreakBefore w:val="0"/>
        <w:widowControl w:val="0"/>
        <w:kinsoku/>
        <w:wordWrap/>
        <w:overflowPunct/>
        <w:topLinePunct w:val="0"/>
        <w:autoSpaceDE/>
        <w:autoSpaceDN/>
        <w:bidi w:val="0"/>
        <w:adjustRightInd/>
        <w:snapToGrid/>
        <w:spacing w:line="600" w:lineRule="exact"/>
        <w:ind w:left="105" w:leftChars="5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设置专人专岗负责资产管理工作，资产采购、实物管理、资产账相分离，形成监督制约。资产采购执行政府采购制度，资产配置总体符合相关规定，资产处置流程符合程序。年底组织开展了资产盘点。</w:t>
      </w:r>
    </w:p>
    <w:p>
      <w:pPr>
        <w:keepNext w:val="0"/>
        <w:keepLines w:val="0"/>
        <w:pageBreakBefore w:val="0"/>
        <w:widowControl w:val="0"/>
        <w:kinsoku/>
        <w:wordWrap/>
        <w:overflowPunct/>
        <w:topLinePunct w:val="0"/>
        <w:autoSpaceDE/>
        <w:autoSpaceDN/>
        <w:bidi w:val="0"/>
        <w:adjustRightInd/>
        <w:snapToGrid/>
        <w:spacing w:line="600" w:lineRule="exact"/>
        <w:ind w:left="105" w:leftChars="50" w:firstLine="640" w:firstLineChars="200"/>
        <w:textAlignment w:val="auto"/>
        <w:rPr>
          <w:rFonts w:ascii="楷体_GB2312" w:eastAsia="楷体_GB2312"/>
          <w:sz w:val="32"/>
          <w:szCs w:val="32"/>
        </w:rPr>
      </w:pPr>
      <w:r>
        <w:rPr>
          <w:rFonts w:hint="eastAsia" w:ascii="楷体_GB2312" w:eastAsia="楷体_GB2312"/>
          <w:sz w:val="32"/>
          <w:szCs w:val="32"/>
        </w:rPr>
        <w:t>（三）绩效</w:t>
      </w:r>
      <w:r>
        <w:rPr>
          <w:rFonts w:ascii="楷体_GB2312" w:eastAsia="楷体_GB2312"/>
          <w:sz w:val="32"/>
          <w:szCs w:val="32"/>
        </w:rPr>
        <w:t>管理</w:t>
      </w:r>
    </w:p>
    <w:p>
      <w:pPr>
        <w:keepNext w:val="0"/>
        <w:keepLines w:val="0"/>
        <w:pageBreakBefore w:val="0"/>
        <w:widowControl w:val="0"/>
        <w:kinsoku/>
        <w:wordWrap/>
        <w:overflowPunct/>
        <w:topLinePunct w:val="0"/>
        <w:autoSpaceDE/>
        <w:autoSpaceDN/>
        <w:bidi w:val="0"/>
        <w:adjustRightInd/>
        <w:snapToGrid/>
        <w:spacing w:line="600" w:lineRule="exact"/>
        <w:ind w:left="105" w:leftChars="5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按照市财政局绩效管理相关政策，对所以年初预算项目设置绩效目标，开展绩效运行监控和事后绩效评价。各项目执行单位绩效管理意识显著增强，财政资金使用效益提高。</w:t>
      </w:r>
    </w:p>
    <w:p>
      <w:pPr>
        <w:keepNext w:val="0"/>
        <w:keepLines w:val="0"/>
        <w:pageBreakBefore w:val="0"/>
        <w:widowControl w:val="0"/>
        <w:kinsoku/>
        <w:wordWrap/>
        <w:overflowPunct/>
        <w:topLinePunct w:val="0"/>
        <w:autoSpaceDE/>
        <w:autoSpaceDN/>
        <w:bidi w:val="0"/>
        <w:adjustRightInd/>
        <w:snapToGrid/>
        <w:spacing w:line="600" w:lineRule="exact"/>
        <w:ind w:left="105" w:leftChars="50" w:firstLine="640" w:firstLineChars="200"/>
        <w:textAlignment w:val="auto"/>
        <w:rPr>
          <w:rFonts w:hint="eastAsia" w:ascii="楷体_GB2312" w:eastAsia="楷体_GB2312"/>
          <w:sz w:val="32"/>
          <w:szCs w:val="32"/>
        </w:rPr>
      </w:pPr>
      <w:r>
        <w:rPr>
          <w:rFonts w:hint="eastAsia" w:ascii="楷体_GB2312" w:eastAsia="楷体_GB2312"/>
          <w:sz w:val="32"/>
          <w:szCs w:val="32"/>
        </w:rPr>
        <w:t>（四）结转结余率</w:t>
      </w:r>
    </w:p>
    <w:p>
      <w:pPr>
        <w:keepNext w:val="0"/>
        <w:keepLines w:val="0"/>
        <w:pageBreakBefore w:val="0"/>
        <w:widowControl w:val="0"/>
        <w:kinsoku/>
        <w:wordWrap/>
        <w:overflowPunct/>
        <w:topLinePunct w:val="0"/>
        <w:autoSpaceDE/>
        <w:autoSpaceDN/>
        <w:bidi w:val="0"/>
        <w:adjustRightInd/>
        <w:snapToGrid/>
        <w:spacing w:line="600" w:lineRule="exact"/>
        <w:ind w:left="105" w:leftChars="5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年末结转结余率为</w:t>
      </w:r>
      <w:r>
        <w:rPr>
          <w:rFonts w:hint="eastAsia" w:ascii="仿宋_GB2312" w:hAnsi="仿宋_GB2312" w:eastAsia="仿宋_GB2312" w:cs="仿宋_GB2312"/>
          <w:sz w:val="32"/>
          <w:szCs w:val="32"/>
          <w:lang w:val="en-US" w:eastAsia="zh-CN"/>
        </w:rPr>
        <w:t>3.74%。形成结余的主要为下半年调整预算追加的项目资金，年底前未能全部支出。按照结余资金管理政策，可延续使用到第二年。</w:t>
      </w:r>
    </w:p>
    <w:p>
      <w:pPr>
        <w:keepNext w:val="0"/>
        <w:keepLines w:val="0"/>
        <w:pageBreakBefore w:val="0"/>
        <w:widowControl w:val="0"/>
        <w:kinsoku/>
        <w:wordWrap/>
        <w:overflowPunct/>
        <w:topLinePunct w:val="0"/>
        <w:autoSpaceDE/>
        <w:autoSpaceDN/>
        <w:bidi w:val="0"/>
        <w:adjustRightInd/>
        <w:snapToGrid/>
        <w:spacing w:line="600" w:lineRule="exact"/>
        <w:ind w:left="105" w:leftChars="50" w:firstLine="640" w:firstLineChars="200"/>
        <w:textAlignment w:val="auto"/>
        <w:rPr>
          <w:rFonts w:ascii="楷体_GB2312" w:eastAsia="楷体_GB2312"/>
          <w:sz w:val="32"/>
          <w:szCs w:val="32"/>
        </w:rPr>
      </w:pPr>
      <w:r>
        <w:rPr>
          <w:rFonts w:hint="eastAsia" w:ascii="楷体_GB2312" w:eastAsia="楷体_GB2312"/>
          <w:sz w:val="32"/>
          <w:szCs w:val="32"/>
        </w:rPr>
        <w:t>（五）部门</w:t>
      </w:r>
      <w:r>
        <w:rPr>
          <w:rFonts w:ascii="楷体_GB2312" w:eastAsia="楷体_GB2312"/>
          <w:sz w:val="32"/>
          <w:szCs w:val="32"/>
        </w:rPr>
        <w:t>预决算差异率</w:t>
      </w:r>
    </w:p>
    <w:p>
      <w:pPr>
        <w:keepNext w:val="0"/>
        <w:keepLines w:val="0"/>
        <w:pageBreakBefore w:val="0"/>
        <w:widowControl w:val="0"/>
        <w:kinsoku/>
        <w:wordWrap/>
        <w:overflowPunct/>
        <w:topLinePunct w:val="0"/>
        <w:autoSpaceDE/>
        <w:autoSpaceDN/>
        <w:bidi w:val="0"/>
        <w:adjustRightInd/>
        <w:snapToGrid/>
        <w:spacing w:line="600" w:lineRule="exact"/>
        <w:ind w:left="105" w:leftChars="5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部门预决算差异率为</w:t>
      </w:r>
      <w:r>
        <w:rPr>
          <w:rFonts w:hint="eastAsia" w:ascii="仿宋_GB2312" w:hAnsi="仿宋_GB2312" w:eastAsia="仿宋_GB2312" w:cs="仿宋_GB2312"/>
          <w:sz w:val="32"/>
          <w:szCs w:val="32"/>
          <w:lang w:val="en-US" w:eastAsia="zh-CN"/>
        </w:rPr>
        <w:t>77.6%。主要原因为：部分基本建设项目资金在年中拨付到位，未纳入年初预算批复。</w:t>
      </w:r>
    </w:p>
    <w:p>
      <w:pPr>
        <w:keepNext w:val="0"/>
        <w:keepLines w:val="0"/>
        <w:pageBreakBefore w:val="0"/>
        <w:widowControl w:val="0"/>
        <w:kinsoku/>
        <w:wordWrap/>
        <w:overflowPunct/>
        <w:topLinePunct w:val="0"/>
        <w:autoSpaceDE/>
        <w:autoSpaceDN/>
        <w:bidi w:val="0"/>
        <w:adjustRightInd/>
        <w:snapToGrid/>
        <w:spacing w:line="600" w:lineRule="exact"/>
        <w:ind w:left="105" w:leftChars="50" w:firstLine="640" w:firstLineChars="200"/>
        <w:textAlignment w:val="auto"/>
        <w:rPr>
          <w:rFonts w:ascii="黑体" w:hAnsi="黑体" w:eastAsia="黑体"/>
          <w:sz w:val="32"/>
          <w:szCs w:val="32"/>
        </w:rPr>
      </w:pPr>
      <w:r>
        <w:rPr>
          <w:rFonts w:hint="eastAsia" w:ascii="黑体" w:hAnsi="黑体" w:eastAsia="黑体"/>
          <w:sz w:val="32"/>
          <w:szCs w:val="32"/>
        </w:rPr>
        <w:t>五、总体</w:t>
      </w:r>
      <w:r>
        <w:rPr>
          <w:rFonts w:ascii="黑体" w:hAnsi="黑体" w:eastAsia="黑体"/>
          <w:sz w:val="32"/>
          <w:szCs w:val="32"/>
        </w:rPr>
        <w:t>评价结论</w:t>
      </w:r>
    </w:p>
    <w:p>
      <w:pPr>
        <w:keepNext w:val="0"/>
        <w:keepLines w:val="0"/>
        <w:pageBreakBefore w:val="0"/>
        <w:widowControl w:val="0"/>
        <w:kinsoku/>
        <w:wordWrap/>
        <w:overflowPunct/>
        <w:topLinePunct w:val="0"/>
        <w:autoSpaceDE/>
        <w:autoSpaceDN/>
        <w:bidi w:val="0"/>
        <w:adjustRightInd/>
        <w:snapToGrid/>
        <w:spacing w:line="600" w:lineRule="exact"/>
        <w:ind w:left="105" w:leftChars="50" w:firstLine="640" w:firstLineChars="200"/>
        <w:textAlignment w:val="auto"/>
        <w:rPr>
          <w:rFonts w:hint="eastAsia" w:ascii="楷体_GB2312" w:eastAsia="楷体_GB2312"/>
          <w:sz w:val="32"/>
          <w:szCs w:val="32"/>
        </w:rPr>
      </w:pPr>
      <w:r>
        <w:rPr>
          <w:rFonts w:hint="eastAsia" w:ascii="楷体_GB2312" w:eastAsia="楷体_GB2312"/>
          <w:sz w:val="32"/>
          <w:szCs w:val="32"/>
        </w:rPr>
        <w:t>（一）评价</w:t>
      </w:r>
      <w:r>
        <w:rPr>
          <w:rFonts w:ascii="楷体_GB2312" w:eastAsia="楷体_GB2312"/>
          <w:sz w:val="32"/>
          <w:szCs w:val="32"/>
        </w:rPr>
        <w:t>得分</w:t>
      </w:r>
      <w:r>
        <w:rPr>
          <w:rFonts w:hint="eastAsia" w:ascii="楷体_GB2312" w:eastAsia="楷体_GB2312"/>
          <w:sz w:val="32"/>
          <w:szCs w:val="32"/>
        </w:rPr>
        <w:t>情况</w:t>
      </w:r>
    </w:p>
    <w:p>
      <w:pPr>
        <w:keepNext w:val="0"/>
        <w:keepLines w:val="0"/>
        <w:pageBreakBefore w:val="0"/>
        <w:widowControl w:val="0"/>
        <w:kinsoku/>
        <w:wordWrap/>
        <w:overflowPunct/>
        <w:topLinePunct w:val="0"/>
        <w:autoSpaceDE/>
        <w:autoSpaceDN/>
        <w:bidi w:val="0"/>
        <w:adjustRightInd/>
        <w:snapToGrid/>
        <w:spacing w:line="600" w:lineRule="exact"/>
        <w:ind w:left="105" w:leftChars="5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2021年市纪委部门整体绩效评价得分为91.9分，评定等次为“优”。其中：预算执行情况19.2分，绩效产出情况27.5分，绩效效果情况29.0分，预算管理情况16.2分。</w:t>
      </w:r>
    </w:p>
    <w:p>
      <w:pPr>
        <w:keepNext w:val="0"/>
        <w:keepLines w:val="0"/>
        <w:pageBreakBefore w:val="0"/>
        <w:widowControl w:val="0"/>
        <w:kinsoku/>
        <w:wordWrap/>
        <w:overflowPunct/>
        <w:topLinePunct w:val="0"/>
        <w:autoSpaceDE/>
        <w:autoSpaceDN/>
        <w:bidi w:val="0"/>
        <w:adjustRightInd/>
        <w:snapToGrid/>
        <w:spacing w:line="600" w:lineRule="exact"/>
        <w:ind w:left="105" w:leftChars="50" w:firstLine="640" w:firstLineChars="200"/>
        <w:textAlignment w:val="auto"/>
        <w:rPr>
          <w:rFonts w:hint="eastAsia" w:ascii="楷体_GB2312" w:eastAsia="楷体_GB2312"/>
          <w:sz w:val="32"/>
          <w:szCs w:val="32"/>
        </w:rPr>
      </w:pPr>
      <w:r>
        <w:rPr>
          <w:rFonts w:hint="eastAsia" w:ascii="楷体_GB2312" w:eastAsia="楷体_GB2312"/>
          <w:sz w:val="32"/>
          <w:szCs w:val="32"/>
        </w:rPr>
        <w:t>（二）存在的问题及原因分析</w:t>
      </w:r>
    </w:p>
    <w:p>
      <w:pPr>
        <w:keepNext w:val="0"/>
        <w:keepLines w:val="0"/>
        <w:pageBreakBefore w:val="0"/>
        <w:widowControl w:val="0"/>
        <w:kinsoku/>
        <w:wordWrap/>
        <w:overflowPunct/>
        <w:topLinePunct w:val="0"/>
        <w:autoSpaceDE/>
        <w:autoSpaceDN/>
        <w:bidi w:val="0"/>
        <w:adjustRightInd/>
        <w:snapToGrid/>
        <w:spacing w:line="600" w:lineRule="exact"/>
        <w:ind w:left="105" w:leftChars="5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存在的问题主要为：一是政府采购和政府购买服务工作需要进一步规范。二是资产配置管理、清查工作需要加强。三是支出进度应当加快。四是绩效管理工作要更加突出实效。</w:t>
      </w:r>
    </w:p>
    <w:p>
      <w:pPr>
        <w:keepNext w:val="0"/>
        <w:keepLines w:val="0"/>
        <w:pageBreakBefore w:val="0"/>
        <w:widowControl w:val="0"/>
        <w:kinsoku/>
        <w:wordWrap/>
        <w:overflowPunct/>
        <w:topLinePunct w:val="0"/>
        <w:autoSpaceDE/>
        <w:autoSpaceDN/>
        <w:bidi w:val="0"/>
        <w:adjustRightInd/>
        <w:snapToGrid/>
        <w:spacing w:line="600" w:lineRule="exact"/>
        <w:ind w:left="105" w:leftChars="5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产生问题的原因：部分人员对于财务管理工作认识不足，执行财政财务制度的能力素质需加强。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六、措施建议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一是规范政府采购和政府购买服务工作。加强采购预算编制、采购计划、采购立项、采购方式、合同验收等各环节管理。完善政府购买服务指导性目录，实现应采尽采。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二是加强资产管理工作。严格按照资产配置标准采购、配置各项资产，加强实物资产分配、流转环节管理，及时开展资产盘点、清查工作，确保账实相符。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三是加快预算执行进度。各项目合同应当合理约定首付款、进度款、尾款支付时间和条件，确保支出进度和时间进度、任务进度相匹配。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四是切实落实绩效管理要求。围绕项目工作任务科学编制绩效目标，结合绩效运行监控情况修正绩效目标或者调整预算，加强绩效完成情况材料收集，根据绩效评价意见改进相关工作。</w:t>
      </w:r>
    </w:p>
    <w:p>
      <w:pPr>
        <w:spacing w:line="600" w:lineRule="exact"/>
        <w:ind w:firstLine="640" w:firstLineChars="200"/>
        <w:rPr>
          <w:rFonts w:hint="eastAsia" w:ascii="仿宋_GB2312" w:hAnsi="宋体" w:eastAsia="仿宋_GB2312" w:cs="宋体"/>
          <w:color w:val="000000"/>
          <w:kern w:val="0"/>
          <w:sz w:val="32"/>
          <w:szCs w:val="32"/>
        </w:rPr>
      </w:pPr>
    </w:p>
    <w:p>
      <w:pPr>
        <w:spacing w:line="600" w:lineRule="exact"/>
        <w:ind w:firstLine="640" w:firstLineChars="200"/>
        <w:rPr>
          <w:rFonts w:hint="eastAsia" w:ascii="仿宋_GB2312" w:hAnsi="宋体" w:eastAsia="仿宋_GB2312" w:cs="宋体"/>
          <w:color w:val="000000"/>
          <w:kern w:val="0"/>
          <w:sz w:val="32"/>
          <w:szCs w:val="32"/>
        </w:rPr>
      </w:pPr>
    </w:p>
    <w:p>
      <w:pPr>
        <w:spacing w:line="600" w:lineRule="exact"/>
        <w:ind w:firstLine="640" w:firstLineChars="200"/>
        <w:rPr>
          <w:rFonts w:hint="eastAsia" w:ascii="仿宋_GB2312" w:hAnsi="宋体" w:eastAsia="仿宋_GB2312" w:cs="宋体"/>
          <w:color w:val="000000"/>
          <w:kern w:val="0"/>
          <w:sz w:val="32"/>
          <w:szCs w:val="32"/>
        </w:rPr>
      </w:pPr>
    </w:p>
    <w:p>
      <w:pPr>
        <w:spacing w:line="600" w:lineRule="exact"/>
        <w:ind w:firstLine="640" w:firstLineChars="200"/>
        <w:rPr>
          <w:rFonts w:hint="eastAsia" w:ascii="仿宋_GB2312" w:hAnsi="宋体" w:eastAsia="仿宋_GB2312" w:cs="宋体"/>
          <w:color w:val="000000"/>
          <w:kern w:val="0"/>
          <w:sz w:val="32"/>
          <w:szCs w:val="32"/>
        </w:rPr>
      </w:pPr>
    </w:p>
    <w:p>
      <w:pPr>
        <w:spacing w:line="600" w:lineRule="exact"/>
        <w:ind w:firstLine="640" w:firstLineChars="200"/>
        <w:rPr>
          <w:rFonts w:hint="eastAsia" w:ascii="仿宋_GB2312" w:hAnsi="宋体" w:eastAsia="仿宋_GB2312" w:cs="宋体"/>
          <w:color w:val="000000"/>
          <w:kern w:val="0"/>
          <w:sz w:val="32"/>
          <w:szCs w:val="32"/>
        </w:rPr>
      </w:pPr>
    </w:p>
    <w:p>
      <w:pPr>
        <w:spacing w:line="600" w:lineRule="exact"/>
        <w:ind w:firstLine="640" w:firstLineChars="200"/>
        <w:rPr>
          <w:rFonts w:hint="eastAsia" w:ascii="仿宋_GB2312" w:hAnsi="宋体" w:eastAsia="仿宋_GB2312" w:cs="宋体"/>
          <w:color w:val="000000"/>
          <w:kern w:val="0"/>
          <w:sz w:val="32"/>
          <w:szCs w:val="32"/>
        </w:rPr>
      </w:pPr>
    </w:p>
    <w:p>
      <w:pPr>
        <w:spacing w:line="600" w:lineRule="exact"/>
        <w:ind w:firstLine="640" w:firstLineChars="200"/>
        <w:rPr>
          <w:rFonts w:hint="eastAsia" w:ascii="仿宋_GB2312" w:hAnsi="宋体" w:eastAsia="仿宋_GB2312" w:cs="宋体"/>
          <w:color w:val="000000"/>
          <w:kern w:val="0"/>
          <w:sz w:val="32"/>
          <w:szCs w:val="32"/>
        </w:rPr>
      </w:pPr>
    </w:p>
    <w:p>
      <w:pPr>
        <w:spacing w:line="600" w:lineRule="exact"/>
        <w:ind w:firstLine="640" w:firstLineChars="200"/>
        <w:rPr>
          <w:rFonts w:hint="eastAsia" w:ascii="仿宋_GB2312" w:hAnsi="宋体" w:eastAsia="仿宋_GB2312" w:cs="宋体"/>
          <w:color w:val="000000"/>
          <w:kern w:val="0"/>
          <w:sz w:val="32"/>
          <w:szCs w:val="32"/>
        </w:rPr>
      </w:pPr>
    </w:p>
    <w:p>
      <w:pPr>
        <w:widowControl/>
        <w:jc w:val="center"/>
        <w:rPr>
          <w:rFonts w:hint="eastAsia" w:ascii="方正小标宋简体" w:hAnsi="黑体" w:eastAsia="方正小标宋简体" w:cs="宋体"/>
          <w:color w:val="000000"/>
          <w:kern w:val="0"/>
          <w:sz w:val="44"/>
          <w:szCs w:val="44"/>
        </w:rPr>
        <w:sectPr>
          <w:footerReference r:id="rId3" w:type="default"/>
          <w:pgSz w:w="11906" w:h="16838"/>
          <w:pgMar w:top="1440" w:right="1800" w:bottom="1440" w:left="1800" w:header="851" w:footer="992" w:gutter="0"/>
          <w:pgNumType w:fmt="numberInDash"/>
          <w:cols w:space="425" w:num="1"/>
          <w:docGrid w:type="lines" w:linePitch="312" w:charSpace="0"/>
        </w:sectPr>
      </w:pPr>
    </w:p>
    <w:tbl>
      <w:tblPr>
        <w:tblStyle w:val="5"/>
        <w:tblW w:w="5000" w:type="pct"/>
        <w:tblInd w:w="0" w:type="dxa"/>
        <w:tblLayout w:type="autofit"/>
        <w:tblCellMar>
          <w:top w:w="0" w:type="dxa"/>
          <w:left w:w="108" w:type="dxa"/>
          <w:bottom w:w="0" w:type="dxa"/>
          <w:right w:w="108" w:type="dxa"/>
        </w:tblCellMar>
      </w:tblPr>
      <w:tblGrid>
        <w:gridCol w:w="854"/>
        <w:gridCol w:w="892"/>
        <w:gridCol w:w="1016"/>
        <w:gridCol w:w="1016"/>
        <w:gridCol w:w="827"/>
        <w:gridCol w:w="616"/>
        <w:gridCol w:w="816"/>
        <w:gridCol w:w="3971"/>
        <w:gridCol w:w="4166"/>
      </w:tblGrid>
      <w:tr>
        <w:trPr>
          <w:trHeight w:val="499" w:hRule="atLeast"/>
        </w:trPr>
        <w:tc>
          <w:tcPr>
            <w:tcW w:w="5000" w:type="pct"/>
            <w:gridSpan w:val="9"/>
            <w:tcBorders>
              <w:top w:val="nil"/>
              <w:left w:val="nil"/>
              <w:bottom w:val="single" w:color="auto" w:sz="4" w:space="0"/>
              <w:right w:val="nil"/>
            </w:tcBorders>
            <w:noWrap/>
            <w:vAlign w:val="bottom"/>
          </w:tcPr>
          <w:p>
            <w:pPr>
              <w:widowControl/>
              <w:jc w:val="center"/>
              <w:rPr>
                <w:rFonts w:hint="eastAsia" w:ascii="方正小标宋简体" w:hAnsi="黑体" w:eastAsia="方正小标宋简体" w:cs="宋体"/>
                <w:color w:val="000000"/>
                <w:kern w:val="0"/>
                <w:sz w:val="44"/>
                <w:szCs w:val="44"/>
                <w:lang w:eastAsia="zh-CN"/>
              </w:rPr>
            </w:pPr>
            <w:r>
              <w:rPr>
                <w:rFonts w:hint="eastAsia" w:ascii="方正小标宋简体" w:hAnsi="黑体" w:eastAsia="方正小标宋简体" w:cs="宋体"/>
                <w:color w:val="000000"/>
                <w:kern w:val="0"/>
                <w:sz w:val="44"/>
                <w:szCs w:val="44"/>
              </w:rPr>
              <w:t>202</w:t>
            </w:r>
            <w:r>
              <w:rPr>
                <w:rFonts w:hint="eastAsia" w:ascii="方正小标宋简体" w:hAnsi="黑体" w:eastAsia="方正小标宋简体" w:cs="宋体"/>
                <w:color w:val="000000"/>
                <w:kern w:val="0"/>
                <w:sz w:val="44"/>
                <w:szCs w:val="44"/>
                <w:lang w:val="en-US" w:eastAsia="zh-CN"/>
              </w:rPr>
              <w:t>1</w:t>
            </w:r>
            <w:r>
              <w:rPr>
                <w:rFonts w:hint="eastAsia" w:ascii="方正小标宋简体" w:hAnsi="黑体" w:eastAsia="方正小标宋简体" w:cs="宋体"/>
                <w:color w:val="000000"/>
                <w:kern w:val="0"/>
                <w:sz w:val="44"/>
                <w:szCs w:val="44"/>
              </w:rPr>
              <w:t>年部门整体绩效评价指标体系评分表</w:t>
            </w:r>
          </w:p>
        </w:tc>
      </w:tr>
      <w:tr>
        <w:tblPrEx>
          <w:tblCellMar>
            <w:top w:w="0" w:type="dxa"/>
            <w:left w:w="108" w:type="dxa"/>
            <w:bottom w:w="0" w:type="dxa"/>
            <w:right w:w="108" w:type="dxa"/>
          </w:tblCellMar>
        </w:tblPrEx>
        <w:trPr>
          <w:trHeight w:val="470" w:hRule="atLeast"/>
        </w:trPr>
        <w:tc>
          <w:tcPr>
            <w:tcW w:w="5000" w:type="pct"/>
            <w:gridSpan w:val="9"/>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一、</w:t>
            </w:r>
            <w:r>
              <w:rPr>
                <w:rFonts w:hint="eastAsia" w:ascii="宋体" w:hAnsi="宋体" w:cs="宋体"/>
                <w:color w:val="000000"/>
                <w:kern w:val="0"/>
                <w:sz w:val="20"/>
                <w:szCs w:val="20"/>
              </w:rPr>
              <w:t>当年预算执行情况（20分）</w:t>
            </w:r>
          </w:p>
        </w:tc>
      </w:tr>
      <w:tr>
        <w:tblPrEx>
          <w:tblCellMar>
            <w:top w:w="0" w:type="dxa"/>
            <w:left w:w="108" w:type="dxa"/>
            <w:bottom w:w="0" w:type="dxa"/>
            <w:right w:w="108" w:type="dxa"/>
          </w:tblCellMar>
        </w:tblPrEx>
        <w:trPr>
          <w:trHeight w:val="660" w:hRule="atLeast"/>
        </w:trPr>
        <w:tc>
          <w:tcPr>
            <w:tcW w:w="35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一</w:t>
            </w:r>
            <w:r>
              <w:rPr>
                <w:rFonts w:ascii="宋体" w:hAnsi="宋体" w:cs="宋体"/>
                <w:color w:val="000000"/>
                <w:kern w:val="0"/>
                <w:sz w:val="20"/>
                <w:szCs w:val="20"/>
              </w:rPr>
              <w:t>级指标</w:t>
            </w:r>
            <w:r>
              <w:rPr>
                <w:rFonts w:hint="eastAsia" w:ascii="宋体" w:hAnsi="宋体" w:cs="宋体"/>
                <w:color w:val="000000"/>
                <w:kern w:val="0"/>
                <w:sz w:val="20"/>
                <w:szCs w:val="20"/>
              </w:rPr>
              <w:t>　</w:t>
            </w:r>
          </w:p>
        </w:tc>
        <w:tc>
          <w:tcPr>
            <w:tcW w:w="36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二</w:t>
            </w:r>
            <w:r>
              <w:rPr>
                <w:rFonts w:ascii="宋体" w:hAnsi="宋体" w:cs="宋体"/>
                <w:color w:val="000000"/>
                <w:kern w:val="0"/>
                <w:sz w:val="20"/>
                <w:szCs w:val="20"/>
              </w:rPr>
              <w:t>级指标</w:t>
            </w:r>
            <w:r>
              <w:rPr>
                <w:rFonts w:hint="eastAsia" w:ascii="宋体" w:hAnsi="宋体" w:cs="宋体"/>
                <w:color w:val="000000"/>
                <w:kern w:val="0"/>
                <w:sz w:val="20"/>
                <w:szCs w:val="20"/>
              </w:rPr>
              <w:t>　</w:t>
            </w:r>
          </w:p>
        </w:tc>
        <w:tc>
          <w:tcPr>
            <w:tcW w:w="23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预算数（万元）</w:t>
            </w:r>
          </w:p>
        </w:tc>
        <w:tc>
          <w:tcPr>
            <w:tcW w:w="23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执行数（万元）</w:t>
            </w:r>
          </w:p>
        </w:tc>
        <w:tc>
          <w:tcPr>
            <w:tcW w:w="34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预算执行率</w:t>
            </w:r>
          </w:p>
        </w:tc>
        <w:tc>
          <w:tcPr>
            <w:tcW w:w="23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分值</w:t>
            </w:r>
          </w:p>
        </w:tc>
        <w:tc>
          <w:tcPr>
            <w:tcW w:w="23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得分</w:t>
            </w:r>
          </w:p>
        </w:tc>
        <w:tc>
          <w:tcPr>
            <w:tcW w:w="148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指标解释</w:t>
            </w:r>
          </w:p>
        </w:tc>
        <w:tc>
          <w:tcPr>
            <w:tcW w:w="1518"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评分标准</w:t>
            </w:r>
          </w:p>
        </w:tc>
      </w:tr>
      <w:tr>
        <w:tblPrEx>
          <w:tblCellMar>
            <w:top w:w="0" w:type="dxa"/>
            <w:left w:w="108" w:type="dxa"/>
            <w:bottom w:w="0" w:type="dxa"/>
            <w:right w:w="108" w:type="dxa"/>
          </w:tblCellMar>
        </w:tblPrEx>
        <w:trPr>
          <w:trHeight w:val="630" w:hRule="atLeast"/>
        </w:trPr>
        <w:tc>
          <w:tcPr>
            <w:tcW w:w="352"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当年预算执行情况（20）</w:t>
            </w:r>
          </w:p>
        </w:tc>
        <w:tc>
          <w:tcPr>
            <w:tcW w:w="36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资金总体</w:t>
            </w:r>
          </w:p>
        </w:tc>
        <w:tc>
          <w:tcPr>
            <w:tcW w:w="23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84633.92　</w:t>
            </w:r>
          </w:p>
        </w:tc>
        <w:tc>
          <w:tcPr>
            <w:tcW w:w="23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81469.57　</w:t>
            </w:r>
          </w:p>
        </w:tc>
        <w:tc>
          <w:tcPr>
            <w:tcW w:w="34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96.26%</w:t>
            </w:r>
            <w:r>
              <w:rPr>
                <w:rFonts w:hint="eastAsia" w:ascii="宋体" w:hAnsi="宋体" w:cs="宋体"/>
                <w:color w:val="000000"/>
                <w:kern w:val="0"/>
                <w:sz w:val="20"/>
                <w:szCs w:val="20"/>
              </w:rPr>
              <w:t>　</w:t>
            </w:r>
          </w:p>
        </w:tc>
        <w:tc>
          <w:tcPr>
            <w:tcW w:w="232"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20</w:t>
            </w:r>
          </w:p>
        </w:tc>
        <w:tc>
          <w:tcPr>
            <w:tcW w:w="232"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19.2</w:t>
            </w:r>
            <w:r>
              <w:rPr>
                <w:rFonts w:hint="eastAsia" w:ascii="宋体" w:hAnsi="宋体" w:cs="宋体"/>
                <w:color w:val="000000"/>
                <w:kern w:val="0"/>
                <w:sz w:val="20"/>
                <w:szCs w:val="20"/>
              </w:rPr>
              <w:t>　</w:t>
            </w:r>
          </w:p>
        </w:tc>
        <w:tc>
          <w:tcPr>
            <w:tcW w:w="1487"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部门全年执行数与全年预算数的比率。资金总体=基本支出+项目支出+其他</w:t>
            </w:r>
          </w:p>
        </w:tc>
        <w:tc>
          <w:tcPr>
            <w:tcW w:w="1518" w:type="pct"/>
            <w:vMerge w:val="restart"/>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①得分一档最高不能超过该指标分值上限（20分）。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该指标若为正向指标，则得分计算方法应用全年实际值（B）/年度指标值（A）*该指标分值；若定量指标为反向指标，则得分计算方法应用年度指标值（A）/全年实际值（B）*该指标分值。若年初指标值设定偏低，则得分计算方法应用（全年实际值（B）—年度指标值（A））/年度指标值（A）*100%。若计算结果在200%-300%（含200%）区间，则按照该指标分值的10%扣分；计算结果在300%-500%（含300%）区间，则按照该指标分值的20%扣分；计算结果高于500%（含500%），则按照该指标分值的30%扣分。</w:t>
            </w:r>
          </w:p>
        </w:tc>
      </w:tr>
      <w:tr>
        <w:tblPrEx>
          <w:tblCellMar>
            <w:top w:w="0" w:type="dxa"/>
            <w:left w:w="108" w:type="dxa"/>
            <w:bottom w:w="0" w:type="dxa"/>
            <w:right w:w="108" w:type="dxa"/>
          </w:tblCellMar>
        </w:tblPrEx>
        <w:trPr>
          <w:trHeight w:val="600" w:hRule="atLeast"/>
        </w:trPr>
        <w:tc>
          <w:tcPr>
            <w:tcW w:w="35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365" w:type="pct"/>
            <w:tcBorders>
              <w:top w:val="single" w:color="auto" w:sz="4" w:space="0"/>
              <w:left w:val="single" w:color="auto" w:sz="4" w:space="0"/>
              <w:bottom w:val="single" w:color="auto" w:sz="4" w:space="0"/>
              <w:right w:val="nil"/>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基本支出</w:t>
            </w:r>
          </w:p>
        </w:tc>
        <w:tc>
          <w:tcPr>
            <w:tcW w:w="23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24466.15　</w:t>
            </w:r>
          </w:p>
        </w:tc>
        <w:tc>
          <w:tcPr>
            <w:tcW w:w="236"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24199.23　</w:t>
            </w:r>
          </w:p>
        </w:tc>
        <w:tc>
          <w:tcPr>
            <w:tcW w:w="340"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w:t>
            </w:r>
          </w:p>
        </w:tc>
        <w:tc>
          <w:tcPr>
            <w:tcW w:w="23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32" w:type="pct"/>
            <w:vMerge w:val="continue"/>
            <w:tcBorders>
              <w:top w:val="single" w:color="auto" w:sz="4" w:space="0"/>
              <w:left w:val="nil"/>
              <w:bottom w:val="single" w:color="auto" w:sz="4" w:space="0"/>
              <w:right w:val="nil"/>
            </w:tcBorders>
            <w:noWrap w:val="0"/>
            <w:vAlign w:val="center"/>
          </w:tcPr>
          <w:p>
            <w:pPr>
              <w:widowControl/>
              <w:jc w:val="left"/>
              <w:rPr>
                <w:rFonts w:ascii="宋体" w:hAnsi="宋体" w:cs="宋体"/>
                <w:color w:val="000000"/>
                <w:kern w:val="0"/>
                <w:sz w:val="20"/>
                <w:szCs w:val="20"/>
              </w:rPr>
            </w:pPr>
          </w:p>
        </w:tc>
        <w:tc>
          <w:tcPr>
            <w:tcW w:w="148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51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615" w:hRule="atLeast"/>
        </w:trPr>
        <w:tc>
          <w:tcPr>
            <w:tcW w:w="35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365" w:type="pct"/>
            <w:tcBorders>
              <w:top w:val="single" w:color="auto" w:sz="4" w:space="0"/>
              <w:left w:val="single" w:color="auto" w:sz="4" w:space="0"/>
              <w:bottom w:val="single" w:color="auto" w:sz="4" w:space="0"/>
              <w:right w:val="nil"/>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项目支出</w:t>
            </w:r>
          </w:p>
        </w:tc>
        <w:tc>
          <w:tcPr>
            <w:tcW w:w="23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60167.77</w:t>
            </w:r>
          </w:p>
        </w:tc>
        <w:tc>
          <w:tcPr>
            <w:tcW w:w="236"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57270.34　</w:t>
            </w:r>
          </w:p>
        </w:tc>
        <w:tc>
          <w:tcPr>
            <w:tcW w:w="34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3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32" w:type="pct"/>
            <w:vMerge w:val="continue"/>
            <w:tcBorders>
              <w:top w:val="single" w:color="auto" w:sz="4" w:space="0"/>
              <w:left w:val="nil"/>
              <w:bottom w:val="single" w:color="auto" w:sz="4" w:space="0"/>
              <w:right w:val="nil"/>
            </w:tcBorders>
            <w:noWrap w:val="0"/>
            <w:vAlign w:val="center"/>
          </w:tcPr>
          <w:p>
            <w:pPr>
              <w:widowControl/>
              <w:jc w:val="left"/>
              <w:rPr>
                <w:rFonts w:ascii="宋体" w:hAnsi="宋体" w:cs="宋体"/>
                <w:color w:val="000000"/>
                <w:kern w:val="0"/>
                <w:sz w:val="20"/>
                <w:szCs w:val="20"/>
              </w:rPr>
            </w:pPr>
          </w:p>
        </w:tc>
        <w:tc>
          <w:tcPr>
            <w:tcW w:w="148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51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2136" w:hRule="atLeast"/>
        </w:trPr>
        <w:tc>
          <w:tcPr>
            <w:tcW w:w="35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36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其他</w:t>
            </w:r>
          </w:p>
        </w:tc>
        <w:tc>
          <w:tcPr>
            <w:tcW w:w="234"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236"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34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3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32" w:type="pct"/>
            <w:vMerge w:val="continue"/>
            <w:tcBorders>
              <w:top w:val="single" w:color="auto" w:sz="4" w:space="0"/>
              <w:left w:val="nil"/>
              <w:bottom w:val="single" w:color="auto" w:sz="4" w:space="0"/>
              <w:right w:val="nil"/>
            </w:tcBorders>
            <w:noWrap w:val="0"/>
            <w:vAlign w:val="center"/>
          </w:tcPr>
          <w:p>
            <w:pPr>
              <w:widowControl/>
              <w:jc w:val="left"/>
              <w:rPr>
                <w:rFonts w:ascii="宋体" w:hAnsi="宋体" w:cs="宋体"/>
                <w:color w:val="000000"/>
                <w:kern w:val="0"/>
                <w:sz w:val="20"/>
                <w:szCs w:val="20"/>
              </w:rPr>
            </w:pPr>
          </w:p>
        </w:tc>
        <w:tc>
          <w:tcPr>
            <w:tcW w:w="148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51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569" w:hRule="atLeast"/>
        </w:trPr>
        <w:tc>
          <w:tcPr>
            <w:tcW w:w="5000" w:type="pct"/>
            <w:gridSpan w:val="9"/>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二</w:t>
            </w:r>
            <w:r>
              <w:rPr>
                <w:rFonts w:ascii="宋体" w:hAnsi="宋体" w:cs="宋体"/>
                <w:color w:val="000000"/>
                <w:kern w:val="0"/>
                <w:sz w:val="18"/>
                <w:szCs w:val="18"/>
              </w:rPr>
              <w:t>、</w:t>
            </w:r>
            <w:r>
              <w:rPr>
                <w:rFonts w:hint="eastAsia" w:ascii="宋体" w:hAnsi="宋体" w:cs="宋体"/>
                <w:color w:val="000000"/>
                <w:kern w:val="0"/>
                <w:sz w:val="20"/>
                <w:szCs w:val="20"/>
              </w:rPr>
              <w:t>整体绩效目标实现情况（60分）</w:t>
            </w:r>
          </w:p>
        </w:tc>
      </w:tr>
      <w:tr>
        <w:tblPrEx>
          <w:tblCellMar>
            <w:top w:w="0" w:type="dxa"/>
            <w:left w:w="108" w:type="dxa"/>
            <w:bottom w:w="0" w:type="dxa"/>
            <w:right w:w="108" w:type="dxa"/>
          </w:tblCellMar>
        </w:tblPrEx>
        <w:trPr>
          <w:trHeight w:val="499" w:hRule="atLeast"/>
        </w:trPr>
        <w:tc>
          <w:tcPr>
            <w:tcW w:w="35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一</w:t>
            </w:r>
            <w:r>
              <w:rPr>
                <w:rFonts w:ascii="宋体" w:hAnsi="宋体" w:cs="宋体"/>
                <w:color w:val="000000"/>
                <w:kern w:val="0"/>
                <w:sz w:val="20"/>
                <w:szCs w:val="20"/>
              </w:rPr>
              <w:t>级指标</w:t>
            </w:r>
          </w:p>
        </w:tc>
        <w:tc>
          <w:tcPr>
            <w:tcW w:w="365"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二</w:t>
            </w:r>
            <w:r>
              <w:rPr>
                <w:rFonts w:ascii="宋体" w:hAnsi="宋体" w:cs="宋体"/>
                <w:color w:val="000000"/>
                <w:kern w:val="0"/>
                <w:sz w:val="20"/>
                <w:szCs w:val="20"/>
              </w:rPr>
              <w:t>级指标</w:t>
            </w:r>
            <w:r>
              <w:rPr>
                <w:rFonts w:hint="eastAsia" w:ascii="宋体" w:hAnsi="宋体" w:cs="宋体"/>
                <w:color w:val="000000"/>
                <w:kern w:val="0"/>
                <w:sz w:val="20"/>
                <w:szCs w:val="20"/>
              </w:rPr>
              <w:t>　</w:t>
            </w:r>
          </w:p>
        </w:tc>
        <w:tc>
          <w:tcPr>
            <w:tcW w:w="234"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三</w:t>
            </w:r>
            <w:r>
              <w:rPr>
                <w:rFonts w:ascii="宋体" w:hAnsi="宋体" w:cs="宋体"/>
                <w:color w:val="000000"/>
                <w:kern w:val="0"/>
                <w:sz w:val="20"/>
                <w:szCs w:val="20"/>
              </w:rPr>
              <w:t>级指标</w:t>
            </w:r>
            <w:r>
              <w:rPr>
                <w:rFonts w:hint="eastAsia" w:ascii="宋体" w:hAnsi="宋体" w:cs="宋体"/>
                <w:color w:val="000000"/>
                <w:kern w:val="0"/>
                <w:sz w:val="20"/>
                <w:szCs w:val="20"/>
              </w:rPr>
              <w:t>　</w:t>
            </w:r>
          </w:p>
        </w:tc>
        <w:tc>
          <w:tcPr>
            <w:tcW w:w="236"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指标值</w:t>
            </w:r>
          </w:p>
        </w:tc>
        <w:tc>
          <w:tcPr>
            <w:tcW w:w="340"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完成值</w:t>
            </w:r>
          </w:p>
        </w:tc>
        <w:tc>
          <w:tcPr>
            <w:tcW w:w="232"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分值</w:t>
            </w:r>
          </w:p>
        </w:tc>
        <w:tc>
          <w:tcPr>
            <w:tcW w:w="232" w:type="pct"/>
            <w:tcBorders>
              <w:top w:val="single" w:color="auto" w:sz="4" w:space="0"/>
              <w:left w:val="nil"/>
              <w:bottom w:val="single" w:color="auto" w:sz="4" w:space="0"/>
              <w:right w:val="nil"/>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得分</w:t>
            </w:r>
          </w:p>
        </w:tc>
        <w:tc>
          <w:tcPr>
            <w:tcW w:w="148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指标</w:t>
            </w:r>
            <w:r>
              <w:rPr>
                <w:rFonts w:ascii="宋体" w:hAnsi="宋体" w:cs="宋体"/>
                <w:bCs/>
                <w:color w:val="000000"/>
                <w:kern w:val="0"/>
                <w:sz w:val="18"/>
                <w:szCs w:val="18"/>
              </w:rPr>
              <w:t>解释</w:t>
            </w:r>
          </w:p>
        </w:tc>
        <w:tc>
          <w:tcPr>
            <w:tcW w:w="151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评</w:t>
            </w:r>
            <w:r>
              <w:rPr>
                <w:rFonts w:ascii="宋体" w:hAnsi="宋体" w:cs="宋体"/>
                <w:color w:val="000000"/>
                <w:kern w:val="0"/>
                <w:sz w:val="18"/>
                <w:szCs w:val="18"/>
              </w:rPr>
              <w:t>分标准</w:t>
            </w:r>
          </w:p>
        </w:tc>
      </w:tr>
      <w:tr>
        <w:tblPrEx>
          <w:tblCellMar>
            <w:top w:w="0" w:type="dxa"/>
            <w:left w:w="108" w:type="dxa"/>
            <w:bottom w:w="0" w:type="dxa"/>
            <w:right w:w="108" w:type="dxa"/>
          </w:tblCellMar>
        </w:tblPrEx>
        <w:trPr>
          <w:trHeight w:val="1196" w:hRule="atLeast"/>
        </w:trPr>
        <w:tc>
          <w:tcPr>
            <w:tcW w:w="352"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整体绩效目标实现情况（60）</w:t>
            </w:r>
          </w:p>
        </w:tc>
        <w:tc>
          <w:tcPr>
            <w:tcW w:w="365" w:type="pct"/>
            <w:vMerge w:val="restart"/>
            <w:tcBorders>
              <w:top w:val="single" w:color="auto" w:sz="4" w:space="0"/>
              <w:left w:val="nil"/>
              <w:right w:val="single" w:color="auto" w:sz="4" w:space="0"/>
            </w:tcBorders>
            <w:noWrap w:val="0"/>
            <w:vAlign w:val="center"/>
          </w:tcPr>
          <w:p>
            <w:pPr>
              <w:widowControl/>
              <w:jc w:val="center"/>
              <w:rPr>
                <w:rFonts w:ascii="宋体" w:hAnsi="宋体" w:cs="宋体"/>
                <w:color w:val="000000"/>
                <w:kern w:val="0"/>
                <w:sz w:val="20"/>
                <w:szCs w:val="20"/>
              </w:rPr>
            </w:pPr>
          </w:p>
          <w:p>
            <w:pPr>
              <w:jc w:val="center"/>
              <w:rPr>
                <w:rFonts w:hint="eastAsia" w:ascii="宋体" w:hAnsi="宋体" w:cs="宋体"/>
                <w:color w:val="000000"/>
                <w:kern w:val="0"/>
                <w:sz w:val="20"/>
                <w:szCs w:val="20"/>
              </w:rPr>
            </w:pPr>
            <w:r>
              <w:rPr>
                <w:rFonts w:hint="eastAsia" w:ascii="宋体" w:hAnsi="宋体" w:cs="宋体"/>
                <w:color w:val="000000"/>
                <w:kern w:val="0"/>
                <w:sz w:val="20"/>
                <w:szCs w:val="20"/>
              </w:rPr>
              <w:t>产出（30）</w:t>
            </w:r>
          </w:p>
        </w:tc>
        <w:tc>
          <w:tcPr>
            <w:tcW w:w="234"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产出数量</w:t>
            </w:r>
          </w:p>
        </w:tc>
        <w:tc>
          <w:tcPr>
            <w:tcW w:w="236"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p>
            <w:pPr>
              <w:jc w:val="center"/>
              <w:rPr>
                <w:rFonts w:hint="eastAsia" w:ascii="宋体" w:hAnsi="宋体" w:cs="宋体"/>
                <w:color w:val="000000"/>
                <w:kern w:val="0"/>
                <w:sz w:val="20"/>
                <w:szCs w:val="20"/>
              </w:rPr>
            </w:pPr>
            <w:r>
              <w:rPr>
                <w:rFonts w:hint="eastAsia" w:ascii="宋体" w:hAnsi="宋体" w:cs="宋体"/>
                <w:color w:val="000000"/>
                <w:kern w:val="0"/>
                <w:sz w:val="20"/>
                <w:szCs w:val="20"/>
                <w:lang w:eastAsia="zh-CN"/>
              </w:rPr>
              <w:t>完成反腐败、查办四风问题、干部管理工作、宣传工作等</w:t>
            </w:r>
            <w:r>
              <w:rPr>
                <w:rFonts w:hint="eastAsia" w:ascii="宋体" w:hAnsi="宋体" w:cs="宋体"/>
                <w:color w:val="000000"/>
                <w:kern w:val="0"/>
                <w:sz w:val="20"/>
                <w:szCs w:val="20"/>
                <w:lang w:val="en-US" w:eastAsia="zh-CN"/>
              </w:rPr>
              <w:t>5项工作</w:t>
            </w:r>
            <w:r>
              <w:rPr>
                <w:rFonts w:hint="eastAsia" w:ascii="宋体" w:hAnsi="宋体" w:cs="宋体"/>
                <w:color w:val="000000"/>
                <w:kern w:val="0"/>
                <w:sz w:val="20"/>
                <w:szCs w:val="20"/>
              </w:rPr>
              <w:t>　</w:t>
            </w:r>
          </w:p>
        </w:tc>
        <w:tc>
          <w:tcPr>
            <w:tcW w:w="340"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各项工作完成情况良好</w:t>
            </w:r>
          </w:p>
          <w:p>
            <w:pPr>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232" w:type="pct"/>
            <w:vMerge w:val="restar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p>
            <w:pPr>
              <w:jc w:val="center"/>
              <w:rPr>
                <w:rFonts w:hint="eastAsia" w:ascii="宋体" w:hAnsi="宋体" w:cs="宋体"/>
                <w:color w:val="000000"/>
                <w:kern w:val="0"/>
                <w:sz w:val="20"/>
                <w:szCs w:val="20"/>
              </w:rPr>
            </w:pPr>
            <w:r>
              <w:rPr>
                <w:rFonts w:hint="eastAsia" w:ascii="宋体" w:hAnsi="宋体" w:cs="宋体"/>
                <w:color w:val="000000"/>
                <w:kern w:val="0"/>
                <w:sz w:val="20"/>
                <w:szCs w:val="20"/>
              </w:rPr>
              <w:t>30</w:t>
            </w:r>
          </w:p>
        </w:tc>
        <w:tc>
          <w:tcPr>
            <w:tcW w:w="232" w:type="pct"/>
            <w:tcBorders>
              <w:top w:val="single" w:color="auto" w:sz="4" w:space="0"/>
              <w:left w:val="nil"/>
              <w:bottom w:val="single" w:color="auto" w:sz="4" w:space="0"/>
              <w:right w:val="nil"/>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8</w:t>
            </w:r>
          </w:p>
          <w:p>
            <w:pPr>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487"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b/>
                <w:bCs/>
                <w:color w:val="000000"/>
                <w:kern w:val="0"/>
                <w:sz w:val="18"/>
                <w:szCs w:val="18"/>
              </w:rPr>
              <w:t>产出数量</w:t>
            </w:r>
            <w:r>
              <w:rPr>
                <w:rFonts w:hint="eastAsia" w:ascii="宋体" w:hAnsi="宋体" w:cs="宋体"/>
                <w:color w:val="000000"/>
                <w:kern w:val="0"/>
                <w:sz w:val="18"/>
                <w:szCs w:val="18"/>
              </w:rPr>
              <w:t>：计划完成率=（实际完成工作数/计划工作数）×100%。实际完成工作数：一定时期（年度或规划期）内部门（单位）实际完成工作任务的数量。计划工作数：部门（单位）整体绩效目标确定的一定时期（年度或规划期）内预计完成工作任务的数量。</w:t>
            </w:r>
            <w:r>
              <w:rPr>
                <w:rFonts w:hint="eastAsia" w:ascii="宋体" w:hAnsi="宋体" w:cs="宋体"/>
                <w:b/>
                <w:bCs/>
                <w:color w:val="000000"/>
                <w:kern w:val="0"/>
                <w:sz w:val="18"/>
                <w:szCs w:val="18"/>
              </w:rPr>
              <w:t>产出质量</w:t>
            </w:r>
            <w:r>
              <w:rPr>
                <w:rFonts w:hint="eastAsia" w:ascii="宋体" w:hAnsi="宋体" w:cs="宋体"/>
                <w:color w:val="000000"/>
                <w:kern w:val="0"/>
                <w:sz w:val="18"/>
                <w:szCs w:val="18"/>
              </w:rPr>
              <w:t>：质量达标率=质量达标工作数/实际完成工作数×100%。质量达标工作数：一定时期（年度或规划期）内部门（单位）实际完成工作数中达到部门绩效目标要求（绩效标准值）的工作任务数量。</w:t>
            </w:r>
            <w:r>
              <w:rPr>
                <w:rFonts w:hint="eastAsia" w:ascii="宋体" w:hAnsi="宋体" w:cs="宋体"/>
                <w:b/>
                <w:bCs/>
                <w:color w:val="000000"/>
                <w:kern w:val="0"/>
                <w:sz w:val="18"/>
                <w:szCs w:val="18"/>
              </w:rPr>
              <w:t>产出进度：</w:t>
            </w:r>
            <w:r>
              <w:rPr>
                <w:rFonts w:hint="eastAsia" w:ascii="宋体" w:hAnsi="宋体" w:cs="宋体"/>
                <w:color w:val="000000"/>
                <w:kern w:val="0"/>
                <w:sz w:val="18"/>
                <w:szCs w:val="18"/>
              </w:rPr>
              <w:t>按时完成率=（按时完成工作数/实际完成工作数）×100%。按时完成工作数：部门（单位）按照整体绩效目标确定的时限实际完成的工作任务数量。</w:t>
            </w:r>
            <w:r>
              <w:rPr>
                <w:rFonts w:hint="eastAsia" w:ascii="宋体" w:hAnsi="宋体" w:cs="宋体"/>
                <w:b/>
                <w:bCs/>
                <w:color w:val="000000"/>
                <w:kern w:val="0"/>
                <w:sz w:val="18"/>
                <w:szCs w:val="18"/>
              </w:rPr>
              <w:t>产出成本</w:t>
            </w:r>
            <w:r>
              <w:rPr>
                <w:rFonts w:hint="eastAsia" w:ascii="宋体" w:hAnsi="宋体" w:cs="宋体"/>
                <w:color w:val="000000"/>
                <w:kern w:val="0"/>
                <w:sz w:val="18"/>
                <w:szCs w:val="18"/>
              </w:rPr>
              <w:t>：单位产出相对于上一年度的节约额；②单位产出相对于市场同类产出的节约额；③部门公用经费的控制情况。</w:t>
            </w:r>
          </w:p>
        </w:tc>
        <w:tc>
          <w:tcPr>
            <w:tcW w:w="1518"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部门根据本单位情况自行确定并选择产出指标，合理确定各项指标权重。可量化的指标按照比率*单项指标分值即为该指标得分。如果不能定量评价，则以定性的方式进行自评。</w:t>
            </w:r>
          </w:p>
        </w:tc>
      </w:tr>
      <w:tr>
        <w:tblPrEx>
          <w:tblCellMar>
            <w:top w:w="0" w:type="dxa"/>
            <w:left w:w="108" w:type="dxa"/>
            <w:bottom w:w="0" w:type="dxa"/>
            <w:right w:w="108" w:type="dxa"/>
          </w:tblCellMar>
        </w:tblPrEx>
        <w:trPr>
          <w:trHeight w:val="1130" w:hRule="atLeast"/>
        </w:trPr>
        <w:tc>
          <w:tcPr>
            <w:tcW w:w="35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365" w:type="pct"/>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34"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产出质量</w:t>
            </w:r>
          </w:p>
        </w:tc>
        <w:tc>
          <w:tcPr>
            <w:tcW w:w="236"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保障监督、办案、巡视、队伍建设和宣传工作质量</w:t>
            </w:r>
          </w:p>
        </w:tc>
        <w:tc>
          <w:tcPr>
            <w:tcW w:w="340"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各项工作质量总体良好</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232" w:type="pct"/>
            <w:vMerge w:val="continue"/>
            <w:tcBorders>
              <w:top w:val="single" w:color="auto" w:sz="4" w:space="0"/>
              <w:left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32" w:type="pct"/>
            <w:tcBorders>
              <w:top w:val="single" w:color="auto" w:sz="4" w:space="0"/>
              <w:left w:val="nil"/>
              <w:bottom w:val="single" w:color="auto" w:sz="4" w:space="0"/>
              <w:right w:val="nil"/>
            </w:tcBorders>
            <w:noWrap/>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8</w:t>
            </w:r>
          </w:p>
        </w:tc>
        <w:tc>
          <w:tcPr>
            <w:tcW w:w="148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51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1258" w:hRule="atLeast"/>
        </w:trPr>
        <w:tc>
          <w:tcPr>
            <w:tcW w:w="35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365" w:type="pct"/>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34"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产出进度</w:t>
            </w:r>
          </w:p>
        </w:tc>
        <w:tc>
          <w:tcPr>
            <w:tcW w:w="236"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经费支出进度与时间进度相匹配</w:t>
            </w:r>
          </w:p>
        </w:tc>
        <w:tc>
          <w:tcPr>
            <w:tcW w:w="340"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eastAsia="zh-CN"/>
              </w:rPr>
              <w:t>支出进度总体良好</w:t>
            </w:r>
            <w:r>
              <w:rPr>
                <w:rFonts w:hint="eastAsia" w:ascii="宋体" w:hAnsi="宋体" w:cs="宋体"/>
                <w:color w:val="000000"/>
                <w:kern w:val="0"/>
                <w:sz w:val="20"/>
                <w:szCs w:val="20"/>
              </w:rPr>
              <w:t>　</w:t>
            </w:r>
          </w:p>
        </w:tc>
        <w:tc>
          <w:tcPr>
            <w:tcW w:w="232" w:type="pct"/>
            <w:vMerge w:val="continue"/>
            <w:tcBorders>
              <w:left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32" w:type="pct"/>
            <w:tcBorders>
              <w:top w:val="nil"/>
              <w:left w:val="nil"/>
              <w:bottom w:val="single" w:color="auto" w:sz="4" w:space="0"/>
              <w:right w:val="nil"/>
            </w:tcBorders>
            <w:noWrap/>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5</w:t>
            </w:r>
          </w:p>
        </w:tc>
        <w:tc>
          <w:tcPr>
            <w:tcW w:w="148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51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975" w:hRule="atLeast"/>
        </w:trPr>
        <w:tc>
          <w:tcPr>
            <w:tcW w:w="35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365" w:type="pct"/>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34" w:type="pct"/>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产出成本</w:t>
            </w:r>
          </w:p>
        </w:tc>
        <w:tc>
          <w:tcPr>
            <w:tcW w:w="23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eastAsia="zh-CN"/>
              </w:rPr>
              <w:t>落实政府“过紧日子”要求，压缩一般性支出</w:t>
            </w:r>
            <w:r>
              <w:rPr>
                <w:rFonts w:hint="eastAsia" w:ascii="宋体" w:hAnsi="宋体" w:cs="宋体"/>
                <w:color w:val="000000"/>
                <w:kern w:val="0"/>
                <w:sz w:val="20"/>
                <w:szCs w:val="20"/>
              </w:rPr>
              <w:t>　</w:t>
            </w:r>
          </w:p>
        </w:tc>
        <w:tc>
          <w:tcPr>
            <w:tcW w:w="340"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eastAsia="zh-CN"/>
              </w:rPr>
              <w:t>一般性支出大幅压缩</w:t>
            </w:r>
            <w:r>
              <w:rPr>
                <w:rFonts w:hint="eastAsia" w:ascii="宋体" w:hAnsi="宋体" w:cs="宋体"/>
                <w:color w:val="000000"/>
                <w:kern w:val="0"/>
                <w:sz w:val="20"/>
                <w:szCs w:val="20"/>
              </w:rPr>
              <w:t>　</w:t>
            </w:r>
          </w:p>
        </w:tc>
        <w:tc>
          <w:tcPr>
            <w:tcW w:w="232" w:type="pct"/>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32" w:type="pct"/>
            <w:tcBorders>
              <w:top w:val="nil"/>
              <w:left w:val="nil"/>
              <w:bottom w:val="single" w:color="auto" w:sz="4" w:space="0"/>
              <w:right w:val="nil"/>
            </w:tcBorders>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6.5</w:t>
            </w:r>
            <w:r>
              <w:rPr>
                <w:rFonts w:hint="eastAsia" w:ascii="宋体" w:hAnsi="宋体" w:cs="宋体"/>
                <w:color w:val="000000"/>
                <w:kern w:val="0"/>
                <w:sz w:val="20"/>
                <w:szCs w:val="20"/>
              </w:rPr>
              <w:t>　</w:t>
            </w:r>
          </w:p>
        </w:tc>
        <w:tc>
          <w:tcPr>
            <w:tcW w:w="148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51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675" w:hRule="atLeast"/>
        </w:trPr>
        <w:tc>
          <w:tcPr>
            <w:tcW w:w="35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365"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效果（30）</w:t>
            </w:r>
          </w:p>
        </w:tc>
        <w:tc>
          <w:tcPr>
            <w:tcW w:w="234"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经济效益</w:t>
            </w:r>
          </w:p>
        </w:tc>
        <w:tc>
          <w:tcPr>
            <w:tcW w:w="23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eastAsia="zh-CN"/>
              </w:rPr>
              <w:t>挽回国有资产和社会经济损失</w:t>
            </w:r>
            <w:r>
              <w:rPr>
                <w:rFonts w:hint="eastAsia" w:ascii="宋体" w:hAnsi="宋体" w:cs="宋体"/>
                <w:color w:val="000000"/>
                <w:kern w:val="0"/>
                <w:sz w:val="20"/>
                <w:szCs w:val="20"/>
              </w:rPr>
              <w:t>　</w:t>
            </w:r>
          </w:p>
        </w:tc>
        <w:tc>
          <w:tcPr>
            <w:tcW w:w="340"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eastAsia="zh-CN"/>
              </w:rPr>
              <w:t>挽回国有资产和社会经济损失</w:t>
            </w:r>
            <w:r>
              <w:rPr>
                <w:rFonts w:hint="eastAsia" w:ascii="宋体" w:hAnsi="宋体" w:cs="宋体"/>
                <w:color w:val="000000"/>
                <w:kern w:val="0"/>
                <w:sz w:val="20"/>
                <w:szCs w:val="20"/>
              </w:rPr>
              <w:t>　　</w:t>
            </w:r>
          </w:p>
        </w:tc>
        <w:tc>
          <w:tcPr>
            <w:tcW w:w="232" w:type="pct"/>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30</w:t>
            </w:r>
          </w:p>
        </w:tc>
        <w:tc>
          <w:tcPr>
            <w:tcW w:w="232" w:type="pct"/>
            <w:tcBorders>
              <w:top w:val="nil"/>
              <w:left w:val="nil"/>
              <w:bottom w:val="single" w:color="auto" w:sz="4" w:space="0"/>
              <w:right w:val="nil"/>
            </w:tcBorders>
            <w:noWrap/>
            <w:vAlign w:val="center"/>
          </w:tcPr>
          <w:p>
            <w:pPr>
              <w:widowControl/>
              <w:jc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14.5</w:t>
            </w:r>
          </w:p>
        </w:tc>
        <w:tc>
          <w:tcPr>
            <w:tcW w:w="1487" w:type="pct"/>
            <w:vMerge w:val="restart"/>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b/>
                <w:bCs/>
                <w:color w:val="000000"/>
                <w:kern w:val="0"/>
                <w:sz w:val="18"/>
                <w:szCs w:val="18"/>
              </w:rPr>
              <w:t>经济效益</w:t>
            </w:r>
            <w:r>
              <w:rPr>
                <w:rFonts w:hint="eastAsia" w:ascii="宋体" w:hAnsi="宋体" w:cs="宋体"/>
                <w:color w:val="000000"/>
                <w:kern w:val="0"/>
                <w:sz w:val="18"/>
                <w:szCs w:val="18"/>
              </w:rPr>
              <w:t>：部门（单位）履行职责对经济发展所带来的直接或间接影响。</w:t>
            </w:r>
            <w:r>
              <w:rPr>
                <w:rFonts w:hint="eastAsia" w:ascii="宋体" w:hAnsi="宋体" w:cs="宋体"/>
                <w:b/>
                <w:bCs/>
                <w:color w:val="000000"/>
                <w:kern w:val="0"/>
                <w:sz w:val="18"/>
                <w:szCs w:val="18"/>
              </w:rPr>
              <w:t>社会效益</w:t>
            </w:r>
            <w:r>
              <w:rPr>
                <w:rFonts w:hint="eastAsia" w:ascii="宋体" w:hAnsi="宋体" w:cs="宋体"/>
                <w:color w:val="000000"/>
                <w:kern w:val="0"/>
                <w:sz w:val="18"/>
                <w:szCs w:val="18"/>
              </w:rPr>
              <w:t>：部门（单位）履行职责对社会发展所带来的直接或间接影响。</w:t>
            </w:r>
            <w:r>
              <w:rPr>
                <w:rFonts w:hint="eastAsia" w:ascii="宋体" w:hAnsi="宋体" w:cs="宋体"/>
                <w:b/>
                <w:bCs/>
                <w:color w:val="000000"/>
                <w:kern w:val="0"/>
                <w:sz w:val="18"/>
                <w:szCs w:val="18"/>
              </w:rPr>
              <w:t>环境效益</w:t>
            </w:r>
            <w:r>
              <w:rPr>
                <w:rFonts w:hint="eastAsia" w:ascii="宋体" w:hAnsi="宋体" w:cs="宋体"/>
                <w:color w:val="000000"/>
                <w:kern w:val="0"/>
                <w:sz w:val="18"/>
                <w:szCs w:val="18"/>
              </w:rPr>
              <w:t>：部门（单位）履行职责对环境所带来的直接或间接影响。</w:t>
            </w:r>
            <w:r>
              <w:rPr>
                <w:rFonts w:hint="eastAsia" w:ascii="宋体" w:hAnsi="宋体" w:cs="宋体"/>
                <w:b/>
                <w:bCs/>
                <w:color w:val="000000"/>
                <w:kern w:val="0"/>
                <w:sz w:val="18"/>
                <w:szCs w:val="18"/>
              </w:rPr>
              <w:t>可持续性影响：</w:t>
            </w:r>
            <w:r>
              <w:rPr>
                <w:rFonts w:hint="eastAsia" w:ascii="宋体" w:hAnsi="宋体" w:cs="宋体"/>
                <w:color w:val="000000"/>
                <w:kern w:val="0"/>
                <w:sz w:val="18"/>
                <w:szCs w:val="18"/>
              </w:rPr>
              <w:t>部门绩效目标实现的长效机制建设情况，部门工作效率提升措施的创新。</w:t>
            </w:r>
            <w:r>
              <w:rPr>
                <w:rFonts w:hint="eastAsia" w:ascii="宋体" w:hAnsi="宋体" w:cs="宋体"/>
                <w:b/>
                <w:bCs/>
                <w:color w:val="000000"/>
                <w:kern w:val="0"/>
                <w:sz w:val="18"/>
                <w:szCs w:val="18"/>
              </w:rPr>
              <w:t>服务对象满意度</w:t>
            </w:r>
            <w:r>
              <w:rPr>
                <w:rFonts w:hint="eastAsia" w:ascii="宋体" w:hAnsi="宋体" w:cs="宋体"/>
                <w:color w:val="000000"/>
                <w:kern w:val="0"/>
                <w:sz w:val="18"/>
                <w:szCs w:val="18"/>
              </w:rPr>
              <w:t>：部门（单位）的服务对象对部门履职效果的满意程度。</w:t>
            </w:r>
          </w:p>
        </w:tc>
        <w:tc>
          <w:tcPr>
            <w:tcW w:w="1518" w:type="pct"/>
            <w:vMerge w:val="restart"/>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部门根据实际情况选择指标进行填写，并将其细化为相应的个性化指标。对于效益类指标可从受益对象瞄准度、受益广度和受益深度上进行设计分析。</w:t>
            </w:r>
          </w:p>
        </w:tc>
      </w:tr>
      <w:tr>
        <w:tblPrEx>
          <w:tblCellMar>
            <w:top w:w="0" w:type="dxa"/>
            <w:left w:w="108" w:type="dxa"/>
            <w:bottom w:w="0" w:type="dxa"/>
            <w:right w:w="108" w:type="dxa"/>
          </w:tblCellMar>
        </w:tblPrEx>
        <w:trPr>
          <w:trHeight w:val="630" w:hRule="atLeast"/>
        </w:trPr>
        <w:tc>
          <w:tcPr>
            <w:tcW w:w="35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36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34"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社会效益</w:t>
            </w:r>
          </w:p>
        </w:tc>
        <w:tc>
          <w:tcPr>
            <w:tcW w:w="23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eastAsia="zh-CN"/>
              </w:rPr>
              <w:t>促进党组织和公职人员正确履职，服务发展</w:t>
            </w:r>
            <w:r>
              <w:rPr>
                <w:rFonts w:hint="eastAsia" w:ascii="宋体" w:hAnsi="宋体" w:cs="宋体"/>
                <w:color w:val="000000"/>
                <w:kern w:val="0"/>
                <w:sz w:val="20"/>
                <w:szCs w:val="20"/>
              </w:rPr>
              <w:t>　</w:t>
            </w:r>
          </w:p>
        </w:tc>
        <w:tc>
          <w:tcPr>
            <w:tcW w:w="340"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eastAsia="zh-CN"/>
              </w:rPr>
              <w:t>促进党组织和公职人员正确履职，服务发展</w:t>
            </w:r>
            <w:r>
              <w:rPr>
                <w:rFonts w:hint="eastAsia" w:ascii="宋体" w:hAnsi="宋体" w:cs="宋体"/>
                <w:color w:val="000000"/>
                <w:kern w:val="0"/>
                <w:sz w:val="20"/>
                <w:szCs w:val="20"/>
              </w:rPr>
              <w:t>　</w:t>
            </w:r>
          </w:p>
        </w:tc>
        <w:tc>
          <w:tcPr>
            <w:tcW w:w="232"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32" w:type="pct"/>
            <w:tcBorders>
              <w:top w:val="nil"/>
              <w:left w:val="nil"/>
              <w:bottom w:val="single" w:color="auto" w:sz="4" w:space="0"/>
              <w:right w:val="nil"/>
            </w:tcBorders>
            <w:noWrap/>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14.5</w:t>
            </w:r>
          </w:p>
        </w:tc>
        <w:tc>
          <w:tcPr>
            <w:tcW w:w="148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51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690" w:hRule="atLeast"/>
        </w:trPr>
        <w:tc>
          <w:tcPr>
            <w:tcW w:w="35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36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34"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可持续性影响</w:t>
            </w:r>
          </w:p>
        </w:tc>
        <w:tc>
          <w:tcPr>
            <w:tcW w:w="23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eastAsia="zh-CN"/>
              </w:rPr>
              <w:t>未设置</w:t>
            </w:r>
            <w:r>
              <w:rPr>
                <w:rFonts w:hint="eastAsia" w:ascii="宋体" w:hAnsi="宋体" w:cs="宋体"/>
                <w:color w:val="000000"/>
                <w:kern w:val="0"/>
                <w:sz w:val="20"/>
                <w:szCs w:val="20"/>
              </w:rPr>
              <w:t>　</w:t>
            </w:r>
          </w:p>
        </w:tc>
        <w:tc>
          <w:tcPr>
            <w:tcW w:w="340"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232"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32" w:type="pct"/>
            <w:tcBorders>
              <w:top w:val="nil"/>
              <w:left w:val="nil"/>
              <w:bottom w:val="single" w:color="auto" w:sz="4" w:space="0"/>
              <w:right w:val="nil"/>
            </w:tcBorders>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48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51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675" w:hRule="atLeast"/>
        </w:trPr>
        <w:tc>
          <w:tcPr>
            <w:tcW w:w="352"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36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34" w:type="pct"/>
            <w:tcBorders>
              <w:top w:val="nil"/>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服务对象满意度</w:t>
            </w:r>
          </w:p>
        </w:tc>
        <w:tc>
          <w:tcPr>
            <w:tcW w:w="236"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eastAsia="zh-CN"/>
              </w:rPr>
              <w:t>未设置</w:t>
            </w:r>
            <w:r>
              <w:rPr>
                <w:rFonts w:hint="eastAsia" w:ascii="宋体" w:hAnsi="宋体" w:cs="宋体"/>
                <w:color w:val="000000"/>
                <w:kern w:val="0"/>
                <w:sz w:val="20"/>
                <w:szCs w:val="20"/>
              </w:rPr>
              <w:t>　</w:t>
            </w:r>
          </w:p>
        </w:tc>
        <w:tc>
          <w:tcPr>
            <w:tcW w:w="340"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232"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32" w:type="pct"/>
            <w:tcBorders>
              <w:top w:val="nil"/>
              <w:left w:val="nil"/>
              <w:bottom w:val="single" w:color="auto" w:sz="4" w:space="0"/>
              <w:right w:val="nil"/>
            </w:tcBorders>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1487"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51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699" w:hRule="atLeast"/>
        </w:trPr>
        <w:tc>
          <w:tcPr>
            <w:tcW w:w="5000" w:type="pct"/>
            <w:gridSpan w:val="9"/>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三</w:t>
            </w:r>
            <w:r>
              <w:rPr>
                <w:rFonts w:ascii="宋体" w:hAnsi="宋体" w:cs="宋体"/>
                <w:color w:val="000000"/>
                <w:kern w:val="0"/>
                <w:sz w:val="18"/>
                <w:szCs w:val="18"/>
              </w:rPr>
              <w:t>、</w:t>
            </w:r>
            <w:r>
              <w:rPr>
                <w:rFonts w:hint="eastAsia" w:ascii="宋体" w:hAnsi="宋体" w:cs="宋体"/>
                <w:color w:val="000000"/>
                <w:kern w:val="0"/>
                <w:sz w:val="20"/>
                <w:szCs w:val="20"/>
              </w:rPr>
              <w:t>预算管理情况（20分）</w:t>
            </w:r>
          </w:p>
        </w:tc>
      </w:tr>
      <w:tr>
        <w:tblPrEx>
          <w:tblCellMar>
            <w:top w:w="0" w:type="dxa"/>
            <w:left w:w="108" w:type="dxa"/>
            <w:bottom w:w="0" w:type="dxa"/>
            <w:right w:w="108" w:type="dxa"/>
          </w:tblCellMar>
        </w:tblPrEx>
        <w:trPr>
          <w:trHeight w:val="702" w:hRule="atLeast"/>
        </w:trPr>
        <w:tc>
          <w:tcPr>
            <w:tcW w:w="35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一</w:t>
            </w:r>
            <w:r>
              <w:rPr>
                <w:rFonts w:ascii="宋体" w:hAnsi="宋体" w:cs="宋体"/>
                <w:color w:val="000000"/>
                <w:kern w:val="0"/>
                <w:sz w:val="20"/>
                <w:szCs w:val="20"/>
              </w:rPr>
              <w:t>级指标</w:t>
            </w:r>
          </w:p>
        </w:tc>
        <w:tc>
          <w:tcPr>
            <w:tcW w:w="36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二</w:t>
            </w:r>
            <w:r>
              <w:rPr>
                <w:rFonts w:ascii="宋体" w:hAnsi="宋体" w:cs="宋体"/>
                <w:color w:val="000000"/>
                <w:kern w:val="0"/>
                <w:sz w:val="20"/>
                <w:szCs w:val="20"/>
              </w:rPr>
              <w:t>级指标</w:t>
            </w:r>
          </w:p>
        </w:tc>
        <w:tc>
          <w:tcPr>
            <w:tcW w:w="234"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三</w:t>
            </w:r>
            <w:r>
              <w:rPr>
                <w:rFonts w:ascii="宋体" w:hAnsi="宋体" w:cs="宋体"/>
                <w:color w:val="000000"/>
                <w:kern w:val="0"/>
                <w:sz w:val="20"/>
                <w:szCs w:val="20"/>
              </w:rPr>
              <w:t>级指标</w:t>
            </w:r>
          </w:p>
        </w:tc>
        <w:tc>
          <w:tcPr>
            <w:tcW w:w="236"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指标</w:t>
            </w:r>
            <w:r>
              <w:rPr>
                <w:rFonts w:ascii="宋体" w:hAnsi="宋体" w:cs="宋体"/>
                <w:color w:val="000000"/>
                <w:kern w:val="0"/>
                <w:sz w:val="20"/>
                <w:szCs w:val="20"/>
              </w:rPr>
              <w:t>值</w:t>
            </w:r>
          </w:p>
        </w:tc>
        <w:tc>
          <w:tcPr>
            <w:tcW w:w="340"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完成</w:t>
            </w:r>
            <w:r>
              <w:rPr>
                <w:rFonts w:ascii="宋体" w:hAnsi="宋体" w:cs="宋体"/>
                <w:color w:val="000000"/>
                <w:kern w:val="0"/>
                <w:sz w:val="20"/>
                <w:szCs w:val="20"/>
              </w:rPr>
              <w:t>值</w:t>
            </w:r>
          </w:p>
        </w:tc>
        <w:tc>
          <w:tcPr>
            <w:tcW w:w="232"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分</w:t>
            </w:r>
            <w:r>
              <w:rPr>
                <w:rFonts w:ascii="宋体" w:hAnsi="宋体" w:cs="宋体"/>
                <w:color w:val="000000"/>
                <w:kern w:val="0"/>
                <w:sz w:val="20"/>
                <w:szCs w:val="20"/>
              </w:rPr>
              <w:t>值</w:t>
            </w:r>
          </w:p>
        </w:tc>
        <w:tc>
          <w:tcPr>
            <w:tcW w:w="232" w:type="pct"/>
            <w:tcBorders>
              <w:top w:val="single" w:color="auto" w:sz="4" w:space="0"/>
              <w:left w:val="nil"/>
              <w:bottom w:val="single" w:color="auto" w:sz="4" w:space="0"/>
              <w:right w:val="nil"/>
            </w:tcBorders>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得</w:t>
            </w:r>
            <w:r>
              <w:rPr>
                <w:rFonts w:ascii="宋体" w:hAnsi="宋体" w:cs="宋体"/>
                <w:color w:val="000000"/>
                <w:kern w:val="0"/>
                <w:sz w:val="20"/>
                <w:szCs w:val="20"/>
              </w:rPr>
              <w:t>分</w:t>
            </w:r>
          </w:p>
        </w:tc>
        <w:tc>
          <w:tcPr>
            <w:tcW w:w="148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18"/>
                <w:szCs w:val="18"/>
              </w:rPr>
            </w:pPr>
            <w:r>
              <w:rPr>
                <w:rFonts w:hint="eastAsia" w:ascii="宋体" w:hAnsi="宋体" w:cs="宋体"/>
                <w:bCs/>
                <w:color w:val="000000"/>
                <w:kern w:val="0"/>
                <w:sz w:val="18"/>
                <w:szCs w:val="18"/>
              </w:rPr>
              <w:t>指标</w:t>
            </w:r>
            <w:r>
              <w:rPr>
                <w:rFonts w:ascii="宋体" w:hAnsi="宋体" w:cs="宋体"/>
                <w:bCs/>
                <w:color w:val="000000"/>
                <w:kern w:val="0"/>
                <w:sz w:val="18"/>
                <w:szCs w:val="18"/>
              </w:rPr>
              <w:t>解释</w:t>
            </w:r>
          </w:p>
        </w:tc>
        <w:tc>
          <w:tcPr>
            <w:tcW w:w="1518"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评</w:t>
            </w:r>
            <w:r>
              <w:rPr>
                <w:rFonts w:ascii="宋体" w:hAnsi="宋体" w:cs="宋体"/>
                <w:color w:val="000000"/>
                <w:kern w:val="0"/>
                <w:sz w:val="18"/>
                <w:szCs w:val="18"/>
              </w:rPr>
              <w:t>分标准</w:t>
            </w:r>
          </w:p>
        </w:tc>
      </w:tr>
      <w:tr>
        <w:tblPrEx>
          <w:tblCellMar>
            <w:top w:w="0" w:type="dxa"/>
            <w:left w:w="108" w:type="dxa"/>
            <w:bottom w:w="0" w:type="dxa"/>
            <w:right w:w="108" w:type="dxa"/>
          </w:tblCellMar>
        </w:tblPrEx>
        <w:trPr>
          <w:trHeight w:val="1230" w:hRule="atLeast"/>
        </w:trPr>
        <w:tc>
          <w:tcPr>
            <w:tcW w:w="352"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预算管理情况（20）</w:t>
            </w:r>
          </w:p>
        </w:tc>
        <w:tc>
          <w:tcPr>
            <w:tcW w:w="365"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财务管理（4）</w:t>
            </w:r>
          </w:p>
        </w:tc>
        <w:tc>
          <w:tcPr>
            <w:tcW w:w="234"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财务管理制度健全性</w:t>
            </w:r>
          </w:p>
        </w:tc>
        <w:tc>
          <w:tcPr>
            <w:tcW w:w="236"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健全财务管理和内部控制制度</w:t>
            </w:r>
          </w:p>
        </w:tc>
        <w:tc>
          <w:tcPr>
            <w:tcW w:w="340"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健全财务管理和内部控制制度</w:t>
            </w:r>
          </w:p>
        </w:tc>
        <w:tc>
          <w:tcPr>
            <w:tcW w:w="232"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w:t>
            </w:r>
          </w:p>
        </w:tc>
        <w:tc>
          <w:tcPr>
            <w:tcW w:w="232" w:type="pct"/>
            <w:tcBorders>
              <w:top w:val="single" w:color="auto" w:sz="4" w:space="0"/>
              <w:left w:val="nil"/>
              <w:bottom w:val="single" w:color="auto" w:sz="4" w:space="0"/>
              <w:right w:val="nil"/>
            </w:tcBorders>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　</w:t>
            </w:r>
          </w:p>
        </w:tc>
        <w:tc>
          <w:tcPr>
            <w:tcW w:w="1487"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b/>
                <w:bCs/>
                <w:color w:val="000000"/>
                <w:kern w:val="0"/>
                <w:sz w:val="18"/>
                <w:szCs w:val="18"/>
              </w:rPr>
              <w:t>财务管理制度健全性:</w:t>
            </w:r>
            <w:r>
              <w:rPr>
                <w:rFonts w:hint="eastAsia" w:ascii="宋体" w:hAnsi="宋体" w:cs="宋体"/>
                <w:color w:val="000000"/>
                <w:kern w:val="0"/>
                <w:sz w:val="18"/>
                <w:szCs w:val="18"/>
              </w:rPr>
              <w:t>部门（单位）为加强财务管理、规范财务行为而制定的管理制度。</w:t>
            </w:r>
          </w:p>
        </w:tc>
        <w:tc>
          <w:tcPr>
            <w:tcW w:w="1518" w:type="pct"/>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①预算资金管理办法、绩效跟踪管理办法、资产管理办法等各项制度是否健全；②部门内部财务管理制度是否完整、合规；③会计核算制度是否完整、合规。每有一项不合格扣0.5分，扣完为止。</w:t>
            </w:r>
          </w:p>
        </w:tc>
      </w:tr>
      <w:tr>
        <w:tblPrEx>
          <w:tblCellMar>
            <w:top w:w="0" w:type="dxa"/>
            <w:left w:w="108" w:type="dxa"/>
            <w:bottom w:w="0" w:type="dxa"/>
            <w:right w:w="108" w:type="dxa"/>
          </w:tblCellMar>
        </w:tblPrEx>
        <w:trPr>
          <w:trHeight w:val="2220" w:hRule="atLeast"/>
        </w:trPr>
        <w:tc>
          <w:tcPr>
            <w:tcW w:w="352"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36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34"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资金使用合规性和安全性</w:t>
            </w:r>
          </w:p>
        </w:tc>
        <w:tc>
          <w:tcPr>
            <w:tcW w:w="236"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eastAsia="zh-CN"/>
              </w:rPr>
              <w:t>加强内控管理，落实政府采购、政府购买服务相关工作要求，保障资金使用合规、安全</w:t>
            </w:r>
            <w:r>
              <w:rPr>
                <w:rFonts w:hint="eastAsia" w:ascii="宋体" w:hAnsi="宋体" w:cs="宋体"/>
                <w:color w:val="000000"/>
                <w:kern w:val="0"/>
                <w:sz w:val="20"/>
                <w:szCs w:val="20"/>
              </w:rPr>
              <w:t>　</w:t>
            </w:r>
          </w:p>
        </w:tc>
        <w:tc>
          <w:tcPr>
            <w:tcW w:w="340"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eastAsia="zh-CN"/>
              </w:rPr>
              <w:t>资金使用总体合规、安全。政府采购、政府购买服务工作需加强</w:t>
            </w:r>
            <w:r>
              <w:rPr>
                <w:rFonts w:hint="eastAsia" w:ascii="宋体" w:hAnsi="宋体" w:cs="宋体"/>
                <w:color w:val="000000"/>
                <w:kern w:val="0"/>
                <w:sz w:val="20"/>
                <w:szCs w:val="20"/>
              </w:rPr>
              <w:t>　</w:t>
            </w:r>
          </w:p>
        </w:tc>
        <w:tc>
          <w:tcPr>
            <w:tcW w:w="232"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w:t>
            </w:r>
          </w:p>
        </w:tc>
        <w:tc>
          <w:tcPr>
            <w:tcW w:w="232" w:type="pct"/>
            <w:tcBorders>
              <w:top w:val="single" w:color="auto" w:sz="4" w:space="0"/>
              <w:left w:val="nil"/>
              <w:bottom w:val="single" w:color="auto" w:sz="4" w:space="0"/>
              <w:right w:val="nil"/>
            </w:tcBorders>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1.5</w:t>
            </w:r>
            <w:r>
              <w:rPr>
                <w:rFonts w:hint="eastAsia" w:ascii="宋体" w:hAnsi="宋体" w:cs="宋体"/>
                <w:color w:val="000000"/>
                <w:kern w:val="0"/>
                <w:sz w:val="20"/>
                <w:szCs w:val="20"/>
              </w:rPr>
              <w:t>　</w:t>
            </w:r>
          </w:p>
        </w:tc>
        <w:tc>
          <w:tcPr>
            <w:tcW w:w="1487"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b/>
                <w:bCs/>
                <w:color w:val="000000"/>
                <w:kern w:val="0"/>
                <w:sz w:val="18"/>
                <w:szCs w:val="18"/>
              </w:rPr>
              <w:t>资金使用合规性和安全性:</w:t>
            </w:r>
            <w:r>
              <w:rPr>
                <w:rFonts w:hint="eastAsia" w:ascii="宋体" w:hAnsi="宋体" w:cs="宋体"/>
                <w:color w:val="000000"/>
                <w:kern w:val="0"/>
                <w:sz w:val="18"/>
                <w:szCs w:val="18"/>
              </w:rPr>
              <w:t>部门（单位）使用预算资金是否符合相关的预算财务管理制度的规定，是否符合相关规定的开支范围，用以反映考核部门（单位）预算资金的规范运行和安全运行情况。</w:t>
            </w:r>
          </w:p>
        </w:tc>
        <w:tc>
          <w:tcPr>
            <w:tcW w:w="1518" w:type="pct"/>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①是否符合国家财经法规和财务管理制度规定以及有关专项资金管理办法的规定；②资金的拨付是否有完整的审批程序和手续；③项目的重大开支是否经过评估论证；④是否符合部门预算批复的用途；⑤是否存在截留、挤占、挪用情况；⑥资金使用是否符合政府采购的程序和流程；⑦资金使用是否符合公务卡结算相关制度和规定。每有一项不合格扣0.5分，扣完为止。</w:t>
            </w:r>
          </w:p>
        </w:tc>
      </w:tr>
      <w:tr>
        <w:tblPrEx>
          <w:tblCellMar>
            <w:top w:w="0" w:type="dxa"/>
            <w:left w:w="108" w:type="dxa"/>
            <w:bottom w:w="0" w:type="dxa"/>
            <w:right w:w="108" w:type="dxa"/>
          </w:tblCellMar>
        </w:tblPrEx>
        <w:trPr>
          <w:trHeight w:val="1035" w:hRule="atLeast"/>
        </w:trPr>
        <w:tc>
          <w:tcPr>
            <w:tcW w:w="35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365"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234"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会计基础信息完善性</w:t>
            </w:r>
          </w:p>
        </w:tc>
        <w:tc>
          <w:tcPr>
            <w:tcW w:w="236"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会计基础信息完整准确</w:t>
            </w:r>
          </w:p>
        </w:tc>
        <w:tc>
          <w:tcPr>
            <w:tcW w:w="340"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eastAsia="zh-CN"/>
              </w:rPr>
              <w:t>会计基础信息完整准确</w:t>
            </w:r>
            <w:r>
              <w:rPr>
                <w:rFonts w:hint="eastAsia" w:ascii="宋体" w:hAnsi="宋体" w:cs="宋体"/>
                <w:color w:val="000000"/>
                <w:kern w:val="0"/>
                <w:sz w:val="20"/>
                <w:szCs w:val="20"/>
              </w:rPr>
              <w:t>　</w:t>
            </w:r>
          </w:p>
        </w:tc>
        <w:tc>
          <w:tcPr>
            <w:tcW w:w="232" w:type="pct"/>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w:t>
            </w:r>
          </w:p>
        </w:tc>
        <w:tc>
          <w:tcPr>
            <w:tcW w:w="232" w:type="pct"/>
            <w:tcBorders>
              <w:top w:val="nil"/>
              <w:left w:val="nil"/>
              <w:bottom w:val="single" w:color="auto" w:sz="4" w:space="0"/>
              <w:right w:val="nil"/>
            </w:tcBorders>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　</w:t>
            </w:r>
          </w:p>
        </w:tc>
        <w:tc>
          <w:tcPr>
            <w:tcW w:w="1487" w:type="pct"/>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b/>
                <w:bCs/>
                <w:color w:val="000000"/>
                <w:kern w:val="0"/>
                <w:sz w:val="18"/>
                <w:szCs w:val="18"/>
              </w:rPr>
              <w:t>会计基础信息完善性:</w:t>
            </w:r>
            <w:r>
              <w:rPr>
                <w:rFonts w:hint="eastAsia" w:ascii="宋体" w:hAnsi="宋体" w:cs="宋体"/>
                <w:color w:val="000000"/>
                <w:kern w:val="0"/>
                <w:sz w:val="18"/>
                <w:szCs w:val="18"/>
              </w:rPr>
              <w:t>部门（单位）会计基础信息情况。</w:t>
            </w:r>
          </w:p>
        </w:tc>
        <w:tc>
          <w:tcPr>
            <w:tcW w:w="1518"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①基础数据信息和会计信息资料是否真实；②基础数据信息和会计信息资料是否完整；③基础数据信息和会计信息资料是否准确。每有一项不合格扣0.5分，扣完为止。</w:t>
            </w:r>
          </w:p>
        </w:tc>
      </w:tr>
      <w:tr>
        <w:tblPrEx>
          <w:tblCellMar>
            <w:top w:w="0" w:type="dxa"/>
            <w:left w:w="108" w:type="dxa"/>
            <w:bottom w:w="0" w:type="dxa"/>
            <w:right w:w="108" w:type="dxa"/>
          </w:tblCellMar>
        </w:tblPrEx>
        <w:trPr>
          <w:trHeight w:val="2220" w:hRule="atLeast"/>
        </w:trPr>
        <w:tc>
          <w:tcPr>
            <w:tcW w:w="35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36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资产管理（4）</w:t>
            </w:r>
          </w:p>
        </w:tc>
        <w:tc>
          <w:tcPr>
            <w:tcW w:w="23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资产管理规范性</w:t>
            </w:r>
          </w:p>
        </w:tc>
        <w:tc>
          <w:tcPr>
            <w:tcW w:w="236"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规范资产采购、配置、处置和日常使用管理</w:t>
            </w:r>
          </w:p>
        </w:tc>
        <w:tc>
          <w:tcPr>
            <w:tcW w:w="340"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资产管理工作基本规范有序。资产配置管理和清查待加强</w:t>
            </w:r>
          </w:p>
        </w:tc>
        <w:tc>
          <w:tcPr>
            <w:tcW w:w="23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4</w:t>
            </w:r>
          </w:p>
        </w:tc>
        <w:tc>
          <w:tcPr>
            <w:tcW w:w="23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3.2</w:t>
            </w:r>
            <w:r>
              <w:rPr>
                <w:rFonts w:hint="eastAsia" w:ascii="宋体" w:hAnsi="宋体" w:cs="宋体"/>
                <w:color w:val="000000"/>
                <w:kern w:val="0"/>
                <w:sz w:val="20"/>
                <w:szCs w:val="20"/>
              </w:rPr>
              <w:t>　</w:t>
            </w:r>
          </w:p>
        </w:tc>
        <w:tc>
          <w:tcPr>
            <w:tcW w:w="1487"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b/>
                <w:bCs/>
                <w:color w:val="000000"/>
                <w:kern w:val="0"/>
                <w:sz w:val="18"/>
                <w:szCs w:val="18"/>
              </w:rPr>
              <w:t>资产管理规范性:</w:t>
            </w:r>
            <w:r>
              <w:rPr>
                <w:rFonts w:hint="eastAsia" w:ascii="宋体" w:hAnsi="宋体" w:cs="宋体"/>
                <w:color w:val="000000"/>
                <w:kern w:val="0"/>
                <w:sz w:val="18"/>
                <w:szCs w:val="18"/>
              </w:rPr>
              <w:t>部门（单位）的资产是否保持安全完整，资产配置是否合理，资产使用和资产处理是否规范，用以反映和考核部门（单位）资产管理的整体水平。</w:t>
            </w:r>
          </w:p>
        </w:tc>
        <w:tc>
          <w:tcPr>
            <w:tcW w:w="1518"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①对外投资行为是否经审批，是否存在投资亏损；②是否有因管理不当发生严重资产损失和丢失情况；③是否存在超标准配置资产；④资产使用是否规范，是否存在未经批准擅自出租、出借资产行为；⑤资产处置是否规范，是否存在不按要求进行报批或资产不公开处置行为；⑥其它资产管理制度办法执行情况。每有一项不合格扣0.8分，扣完为止。</w:t>
            </w:r>
          </w:p>
        </w:tc>
      </w:tr>
      <w:tr>
        <w:tblPrEx>
          <w:tblCellMar>
            <w:top w:w="0" w:type="dxa"/>
            <w:left w:w="108" w:type="dxa"/>
            <w:bottom w:w="0" w:type="dxa"/>
            <w:right w:w="108" w:type="dxa"/>
          </w:tblCellMar>
        </w:tblPrEx>
        <w:trPr>
          <w:trHeight w:val="1750" w:hRule="atLeast"/>
        </w:trPr>
        <w:tc>
          <w:tcPr>
            <w:tcW w:w="35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365"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绩效管理（4）</w:t>
            </w:r>
          </w:p>
        </w:tc>
        <w:tc>
          <w:tcPr>
            <w:tcW w:w="234"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绩效管理情况</w:t>
            </w:r>
          </w:p>
        </w:tc>
        <w:tc>
          <w:tcPr>
            <w:tcW w:w="236" w:type="pct"/>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lang w:eastAsia="zh-CN"/>
              </w:rPr>
              <w:t>填报绩效目标，开展绩效运行监控和绩效评价</w:t>
            </w:r>
            <w:r>
              <w:rPr>
                <w:rFonts w:hint="eastAsia" w:ascii="宋体" w:hAnsi="宋体" w:cs="宋体"/>
                <w:color w:val="000000"/>
                <w:kern w:val="0"/>
                <w:sz w:val="20"/>
                <w:szCs w:val="20"/>
              </w:rPr>
              <w:t>　</w:t>
            </w:r>
          </w:p>
        </w:tc>
        <w:tc>
          <w:tcPr>
            <w:tcW w:w="340" w:type="pct"/>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按照计划开展绩效管理各项工作</w:t>
            </w:r>
          </w:p>
        </w:tc>
        <w:tc>
          <w:tcPr>
            <w:tcW w:w="232"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4</w:t>
            </w:r>
          </w:p>
        </w:tc>
        <w:tc>
          <w:tcPr>
            <w:tcW w:w="232" w:type="pct"/>
            <w:tcBorders>
              <w:top w:val="single" w:color="auto" w:sz="4" w:space="0"/>
              <w:left w:val="nil"/>
              <w:bottom w:val="single" w:color="auto" w:sz="4" w:space="0"/>
              <w:right w:val="nil"/>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4</w:t>
            </w:r>
            <w:r>
              <w:rPr>
                <w:rFonts w:hint="eastAsia" w:ascii="宋体" w:hAnsi="宋体" w:cs="宋体"/>
                <w:color w:val="000000"/>
                <w:kern w:val="0"/>
                <w:sz w:val="20"/>
                <w:szCs w:val="20"/>
              </w:rPr>
              <w:t>　</w:t>
            </w:r>
          </w:p>
        </w:tc>
        <w:tc>
          <w:tcPr>
            <w:tcW w:w="1487"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b/>
                <w:bCs/>
                <w:color w:val="000000"/>
                <w:kern w:val="0"/>
                <w:sz w:val="18"/>
                <w:szCs w:val="18"/>
              </w:rPr>
              <w:t>绩效管理情况:</w:t>
            </w:r>
            <w:r>
              <w:rPr>
                <w:rFonts w:hint="eastAsia" w:ascii="宋体" w:hAnsi="宋体" w:cs="宋体"/>
                <w:color w:val="000000"/>
                <w:kern w:val="0"/>
                <w:sz w:val="18"/>
                <w:szCs w:val="18"/>
              </w:rPr>
              <w:t>考核部门（单位）在绩效管理信息的汇总和应用情况。</w:t>
            </w:r>
          </w:p>
        </w:tc>
        <w:tc>
          <w:tcPr>
            <w:tcW w:w="1518" w:type="pct"/>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①部门（单位）是否及时对绩效信息进行汇总分析整理；②部门（单位）是否对绩效目标偏离情况及时进行矫正。每有一项不合格扣2分。</w:t>
            </w:r>
          </w:p>
        </w:tc>
      </w:tr>
      <w:tr>
        <w:tblPrEx>
          <w:tblCellMar>
            <w:top w:w="0" w:type="dxa"/>
            <w:left w:w="108" w:type="dxa"/>
            <w:bottom w:w="0" w:type="dxa"/>
            <w:right w:w="108" w:type="dxa"/>
          </w:tblCellMar>
        </w:tblPrEx>
        <w:trPr>
          <w:trHeight w:val="394" w:hRule="atLeast"/>
        </w:trPr>
        <w:tc>
          <w:tcPr>
            <w:tcW w:w="35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365"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指标　</w:t>
            </w:r>
          </w:p>
        </w:tc>
        <w:tc>
          <w:tcPr>
            <w:tcW w:w="470" w:type="pct"/>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20</w:t>
            </w:r>
            <w:r>
              <w:rPr>
                <w:rFonts w:hint="eastAsia" w:ascii="宋体" w:hAnsi="宋体" w:cs="宋体"/>
                <w:color w:val="000000"/>
                <w:kern w:val="0"/>
                <w:sz w:val="20"/>
                <w:szCs w:val="20"/>
                <w:lang w:val="en-US" w:eastAsia="zh-CN"/>
              </w:rPr>
              <w:t>20</w:t>
            </w:r>
            <w:r>
              <w:rPr>
                <w:rFonts w:hint="eastAsia" w:ascii="宋体" w:hAnsi="宋体" w:cs="宋体"/>
                <w:color w:val="000000"/>
                <w:kern w:val="0"/>
                <w:sz w:val="20"/>
                <w:szCs w:val="20"/>
              </w:rPr>
              <w:t>年</w:t>
            </w:r>
          </w:p>
        </w:tc>
        <w:tc>
          <w:tcPr>
            <w:tcW w:w="340"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202</w:t>
            </w: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年</w:t>
            </w:r>
          </w:p>
        </w:tc>
        <w:tc>
          <w:tcPr>
            <w:tcW w:w="232"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分值</w:t>
            </w:r>
          </w:p>
        </w:tc>
        <w:tc>
          <w:tcPr>
            <w:tcW w:w="232"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得分</w:t>
            </w:r>
          </w:p>
        </w:tc>
        <w:tc>
          <w:tcPr>
            <w:tcW w:w="148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bCs/>
                <w:color w:val="000000"/>
                <w:kern w:val="0"/>
                <w:sz w:val="18"/>
                <w:szCs w:val="18"/>
              </w:rPr>
              <w:t>指标</w:t>
            </w:r>
            <w:r>
              <w:rPr>
                <w:rFonts w:ascii="宋体" w:hAnsi="宋体" w:cs="宋体"/>
                <w:bCs/>
                <w:color w:val="000000"/>
                <w:kern w:val="0"/>
                <w:sz w:val="18"/>
                <w:szCs w:val="18"/>
              </w:rPr>
              <w:t>解释</w:t>
            </w:r>
          </w:p>
        </w:tc>
        <w:tc>
          <w:tcPr>
            <w:tcW w:w="1518" w:type="pct"/>
            <w:tcBorders>
              <w:top w:val="single" w:color="auto" w:sz="4" w:space="0"/>
              <w:left w:val="nil"/>
              <w:bottom w:val="single" w:color="auto" w:sz="4" w:space="0"/>
              <w:right w:val="single" w:color="auto" w:sz="4" w:space="0"/>
            </w:tcBorders>
            <w:noWrap w:val="0"/>
            <w:vAlign w:val="center"/>
          </w:tcPr>
          <w:p>
            <w:pPr>
              <w:widowControl/>
              <w:jc w:val="center"/>
              <w:rPr>
                <w:rFonts w:eastAsia="Times New Roman"/>
                <w:kern w:val="0"/>
                <w:sz w:val="20"/>
                <w:szCs w:val="20"/>
              </w:rPr>
            </w:pPr>
            <w:r>
              <w:rPr>
                <w:rFonts w:hint="eastAsia" w:ascii="宋体" w:hAnsi="宋体" w:cs="宋体"/>
                <w:color w:val="000000"/>
                <w:kern w:val="0"/>
                <w:sz w:val="18"/>
                <w:szCs w:val="18"/>
              </w:rPr>
              <w:t>评</w:t>
            </w:r>
            <w:r>
              <w:rPr>
                <w:rFonts w:ascii="宋体" w:hAnsi="宋体" w:cs="宋体"/>
                <w:color w:val="000000"/>
                <w:kern w:val="0"/>
                <w:sz w:val="18"/>
                <w:szCs w:val="18"/>
              </w:rPr>
              <w:t>分标准</w:t>
            </w:r>
          </w:p>
        </w:tc>
      </w:tr>
      <w:tr>
        <w:tblPrEx>
          <w:tblCellMar>
            <w:top w:w="0" w:type="dxa"/>
            <w:left w:w="108" w:type="dxa"/>
            <w:bottom w:w="0" w:type="dxa"/>
            <w:right w:w="108" w:type="dxa"/>
          </w:tblCellMar>
        </w:tblPrEx>
        <w:trPr>
          <w:trHeight w:val="1365" w:hRule="atLeast"/>
        </w:trPr>
        <w:tc>
          <w:tcPr>
            <w:tcW w:w="35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365"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结转结余率（4）</w:t>
            </w:r>
          </w:p>
        </w:tc>
        <w:tc>
          <w:tcPr>
            <w:tcW w:w="470" w:type="pct"/>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3.60%</w:t>
            </w:r>
            <w:r>
              <w:rPr>
                <w:rFonts w:hint="eastAsia" w:ascii="宋体" w:hAnsi="宋体" w:cs="宋体"/>
                <w:color w:val="000000"/>
                <w:kern w:val="0"/>
                <w:sz w:val="20"/>
                <w:szCs w:val="20"/>
              </w:rPr>
              <w:t>　</w:t>
            </w:r>
          </w:p>
        </w:tc>
        <w:tc>
          <w:tcPr>
            <w:tcW w:w="340"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3.74%</w:t>
            </w:r>
            <w:r>
              <w:rPr>
                <w:rFonts w:hint="eastAsia" w:ascii="宋体" w:hAnsi="宋体" w:cs="宋体"/>
                <w:color w:val="000000"/>
                <w:kern w:val="0"/>
                <w:sz w:val="20"/>
                <w:szCs w:val="20"/>
              </w:rPr>
              <w:t>　</w:t>
            </w:r>
          </w:p>
        </w:tc>
        <w:tc>
          <w:tcPr>
            <w:tcW w:w="232"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4</w:t>
            </w:r>
          </w:p>
        </w:tc>
        <w:tc>
          <w:tcPr>
            <w:tcW w:w="232" w:type="pct"/>
            <w:tcBorders>
              <w:top w:val="nil"/>
              <w:left w:val="nil"/>
              <w:bottom w:val="single" w:color="auto" w:sz="4" w:space="0"/>
              <w:right w:val="nil"/>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3.5</w:t>
            </w:r>
            <w:r>
              <w:rPr>
                <w:rFonts w:hint="eastAsia" w:ascii="宋体" w:hAnsi="宋体" w:cs="宋体"/>
                <w:color w:val="000000"/>
                <w:kern w:val="0"/>
                <w:sz w:val="20"/>
                <w:szCs w:val="20"/>
              </w:rPr>
              <w:t>　</w:t>
            </w:r>
          </w:p>
        </w:tc>
        <w:tc>
          <w:tcPr>
            <w:tcW w:w="1487"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结转结余率=结转结余总额/支出预算数×100%。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结转结余总额：部门（单位）本年度的结转资金与结余资金之和。</w:t>
            </w:r>
          </w:p>
        </w:tc>
        <w:tc>
          <w:tcPr>
            <w:tcW w:w="1518" w:type="pct"/>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部门结转结余率低于上年的不扣分；高于上年结余率，每高出1个百分点扣0.4分，扣完为止。（说明：预算调整和结转结余指标，如非预算部门主观因素导致扣分的，在评分结果征求意见环节，经与相关部门预算主管处室共同研究，可作为例外情况酌情考虑。）</w:t>
            </w:r>
          </w:p>
        </w:tc>
      </w:tr>
      <w:tr>
        <w:tblPrEx>
          <w:tblCellMar>
            <w:top w:w="0" w:type="dxa"/>
            <w:left w:w="108" w:type="dxa"/>
            <w:bottom w:w="0" w:type="dxa"/>
            <w:right w:w="108" w:type="dxa"/>
          </w:tblCellMar>
        </w:tblPrEx>
        <w:trPr>
          <w:trHeight w:val="90" w:hRule="atLeast"/>
        </w:trPr>
        <w:tc>
          <w:tcPr>
            <w:tcW w:w="352"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365" w:type="pct"/>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部门预决算差异率（4）</w:t>
            </w:r>
          </w:p>
        </w:tc>
        <w:tc>
          <w:tcPr>
            <w:tcW w:w="470" w:type="pct"/>
            <w:gridSpan w:val="2"/>
            <w:tcBorders>
              <w:top w:val="single" w:color="auto" w:sz="4" w:space="0"/>
              <w:left w:val="nil"/>
              <w:bottom w:val="single" w:color="auto" w:sz="4" w:space="0"/>
              <w:right w:val="nil"/>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w:t>
            </w:r>
          </w:p>
        </w:tc>
        <w:tc>
          <w:tcPr>
            <w:tcW w:w="340" w:type="pct"/>
            <w:tcBorders>
              <w:top w:val="nil"/>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77.6%</w:t>
            </w:r>
          </w:p>
        </w:tc>
        <w:tc>
          <w:tcPr>
            <w:tcW w:w="232"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4</w:t>
            </w:r>
          </w:p>
        </w:tc>
        <w:tc>
          <w:tcPr>
            <w:tcW w:w="232" w:type="pct"/>
            <w:tcBorders>
              <w:top w:val="nil"/>
              <w:left w:val="nil"/>
              <w:bottom w:val="single" w:color="auto" w:sz="4" w:space="0"/>
              <w:right w:val="nil"/>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w:t>
            </w:r>
            <w:r>
              <w:rPr>
                <w:rFonts w:hint="eastAsia" w:ascii="宋体" w:hAnsi="宋体" w:cs="宋体"/>
                <w:color w:val="000000"/>
                <w:kern w:val="0"/>
                <w:sz w:val="20"/>
                <w:szCs w:val="20"/>
              </w:rPr>
              <w:t>　</w:t>
            </w:r>
          </w:p>
        </w:tc>
        <w:tc>
          <w:tcPr>
            <w:tcW w:w="1487" w:type="pct"/>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通过年度部门决算与年初部门预算对比，对部门的年度支出情况进行考核，衡量部门预算的约束力。</w:t>
            </w:r>
          </w:p>
        </w:tc>
        <w:tc>
          <w:tcPr>
            <w:tcW w:w="1518" w:type="pct"/>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部门预决算差异率高于市级平均差异率（28.3%）的，每高出10%（含），扣0.4分，扣完为止。</w:t>
            </w:r>
          </w:p>
        </w:tc>
      </w:tr>
      <w:tr>
        <w:tblPrEx>
          <w:tblCellMar>
            <w:top w:w="0" w:type="dxa"/>
            <w:left w:w="108" w:type="dxa"/>
            <w:bottom w:w="0" w:type="dxa"/>
            <w:right w:w="108" w:type="dxa"/>
          </w:tblCellMar>
        </w:tblPrEx>
        <w:trPr>
          <w:trHeight w:val="404" w:hRule="atLeast"/>
        </w:trPr>
        <w:tc>
          <w:tcPr>
            <w:tcW w:w="1529" w:type="pct"/>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合计</w:t>
            </w:r>
          </w:p>
        </w:tc>
        <w:tc>
          <w:tcPr>
            <w:tcW w:w="232" w:type="pct"/>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100</w:t>
            </w:r>
          </w:p>
        </w:tc>
        <w:tc>
          <w:tcPr>
            <w:tcW w:w="232" w:type="pct"/>
            <w:tcBorders>
              <w:top w:val="nil"/>
              <w:left w:val="nil"/>
              <w:bottom w:val="single" w:color="auto" w:sz="4" w:space="0"/>
              <w:right w:val="nil"/>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91.9</w:t>
            </w:r>
            <w:r>
              <w:rPr>
                <w:rFonts w:hint="eastAsia" w:ascii="宋体" w:hAnsi="宋体" w:cs="宋体"/>
                <w:color w:val="000000"/>
                <w:kern w:val="0"/>
                <w:sz w:val="20"/>
                <w:szCs w:val="20"/>
              </w:rPr>
              <w:t>　</w:t>
            </w:r>
          </w:p>
        </w:tc>
        <w:tc>
          <w:tcPr>
            <w:tcW w:w="3006" w:type="pct"/>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r>
    </w:tbl>
    <w:p>
      <w:pPr>
        <w:spacing w:line="20" w:lineRule="exact"/>
        <w:ind w:left="-21" w:leftChars="-10" w:right="42" w:rightChars="20"/>
        <w:rPr>
          <w:rFonts w:hint="eastAsia"/>
        </w:rPr>
      </w:pPr>
    </w:p>
    <w:p>
      <w:pPr>
        <w:spacing w:line="600" w:lineRule="exact"/>
        <w:ind w:firstLine="640" w:firstLineChars="200"/>
        <w:rPr>
          <w:rFonts w:hint="eastAsia" w:ascii="仿宋_GB2312" w:hAnsi="宋体" w:eastAsia="仿宋_GB2312" w:cs="宋体"/>
          <w:color w:val="000000"/>
          <w:kern w:val="0"/>
          <w:sz w:val="32"/>
          <w:szCs w:val="32"/>
        </w:rPr>
      </w:pPr>
    </w:p>
    <w:p>
      <w:r>
        <w:rPr>
          <w:rFonts w:hint="eastAsia" w:ascii="方正小标宋简体" w:eastAsia="方正小标宋简体"/>
          <w:sz w:val="36"/>
          <w:szCs w:val="36"/>
        </w:rPr>
        <w:t xml:space="preserve"> </w:t>
      </w: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7F09F4"/>
    <w:rsid w:val="0ECF9C51"/>
    <w:rsid w:val="1BDF407B"/>
    <w:rsid w:val="36FFC571"/>
    <w:rsid w:val="37173543"/>
    <w:rsid w:val="3DE56102"/>
    <w:rsid w:val="3FF76880"/>
    <w:rsid w:val="4B67D09E"/>
    <w:rsid w:val="5BFB4D7E"/>
    <w:rsid w:val="5BFD4C84"/>
    <w:rsid w:val="5EE7CC06"/>
    <w:rsid w:val="5FBF7210"/>
    <w:rsid w:val="6FDDC135"/>
    <w:rsid w:val="6FF5743A"/>
    <w:rsid w:val="71F61CBA"/>
    <w:rsid w:val="776F743A"/>
    <w:rsid w:val="77FB15D1"/>
    <w:rsid w:val="7AB7FF50"/>
    <w:rsid w:val="7BFEB0DB"/>
    <w:rsid w:val="7DFE179B"/>
    <w:rsid w:val="7FFF3306"/>
    <w:rsid w:val="8B7F3954"/>
    <w:rsid w:val="9DDFBD61"/>
    <w:rsid w:val="AEAF6C02"/>
    <w:rsid w:val="B39BF94C"/>
    <w:rsid w:val="BF7730EA"/>
    <w:rsid w:val="BF7D3D2D"/>
    <w:rsid w:val="C36F37B1"/>
    <w:rsid w:val="CAED5F23"/>
    <w:rsid w:val="CEFD3F3D"/>
    <w:rsid w:val="DEDD60E3"/>
    <w:rsid w:val="DF6F3196"/>
    <w:rsid w:val="EA3F77F2"/>
    <w:rsid w:val="EEFE5989"/>
    <w:rsid w:val="EFCF3EAE"/>
    <w:rsid w:val="F3FE62EB"/>
    <w:rsid w:val="F5B764A2"/>
    <w:rsid w:val="F5DF9BCF"/>
    <w:rsid w:val="F5EE7C00"/>
    <w:rsid w:val="F75D1812"/>
    <w:rsid w:val="F77F09F4"/>
    <w:rsid w:val="F7FB4BB4"/>
    <w:rsid w:val="F9FF7DFE"/>
    <w:rsid w:val="FDF99DBD"/>
    <w:rsid w:val="FEEE25EA"/>
    <w:rsid w:val="FFD7B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20"/>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paragraph" w:customStyle="1" w:styleId="8">
    <w:name w:val="列出段落1"/>
    <w:basedOn w:val="1"/>
    <w:qFormat/>
    <w:uiPriority w:val="34"/>
    <w:pPr>
      <w:ind w:firstLine="420" w:firstLineChars="200"/>
    </w:pPr>
    <w:rPr>
      <w:rFonts w:ascii="Calibri" w:hAnsi="Calibri" w:cs="黑体"/>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2022-03-12T11:16:00Z</dcterms:created>
  <dc:creator>user</dc:creator>
  <cp:lastModifiedBy>liuruilong</cp:lastModifiedBy>
  <dcterms:modified xsi:type="dcterms:W3CDTF">2022-08-25T19:14:07Z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